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FA" w:rsidRDefault="000569FA" w:rsidP="000569FA">
      <w:pPr>
        <w:jc w:val="center"/>
        <w:rPr>
          <w:b/>
          <w:sz w:val="28"/>
          <w:szCs w:val="28"/>
        </w:rPr>
      </w:pPr>
      <w:r>
        <w:rPr>
          <w:b/>
          <w:sz w:val="28"/>
          <w:szCs w:val="28"/>
        </w:rPr>
        <w:t>City of Nanaimo</w:t>
      </w:r>
    </w:p>
    <w:p w:rsidR="000569FA" w:rsidRPr="00334156" w:rsidRDefault="000569FA" w:rsidP="000569FA">
      <w:pPr>
        <w:jc w:val="center"/>
        <w:rPr>
          <w:b/>
          <w:sz w:val="16"/>
          <w:szCs w:val="16"/>
        </w:rPr>
      </w:pPr>
    </w:p>
    <w:p w:rsidR="000569FA" w:rsidRPr="00DD06B4" w:rsidRDefault="000569FA" w:rsidP="000569FA">
      <w:pPr>
        <w:jc w:val="center"/>
        <w:rPr>
          <w:b/>
          <w:sz w:val="28"/>
          <w:szCs w:val="28"/>
        </w:rPr>
      </w:pPr>
      <w:r w:rsidRPr="00DD06B4">
        <w:rPr>
          <w:b/>
          <w:sz w:val="28"/>
          <w:szCs w:val="28"/>
        </w:rPr>
        <w:t>REPORT TO COUNCIL</w:t>
      </w:r>
    </w:p>
    <w:p w:rsidR="000569FA" w:rsidRPr="00DD06B4" w:rsidRDefault="000569FA" w:rsidP="000569FA">
      <w:pPr>
        <w:jc w:val="both"/>
      </w:pPr>
    </w:p>
    <w:p w:rsidR="000569FA" w:rsidRPr="00DD06B4" w:rsidRDefault="000569FA" w:rsidP="000569FA">
      <w:pPr>
        <w:jc w:val="both"/>
      </w:pPr>
      <w:r w:rsidRPr="00DD06B4">
        <w:t xml:space="preserve">DATE OF MEETING:  </w:t>
      </w:r>
      <w:r w:rsidR="00A8714B">
        <w:t>2014-APR-28</w:t>
      </w:r>
    </w:p>
    <w:p w:rsidR="000569FA" w:rsidRPr="00DD06B4" w:rsidRDefault="000569FA" w:rsidP="000569FA">
      <w:pPr>
        <w:jc w:val="both"/>
      </w:pPr>
    </w:p>
    <w:p w:rsidR="000569FA" w:rsidRPr="00DD06B4" w:rsidRDefault="00CC6A8E" w:rsidP="000569FA">
      <w:pPr>
        <w:ind w:right="-540"/>
        <w:jc w:val="both"/>
      </w:pPr>
      <w:r>
        <w:t xml:space="preserve">AUTHORED BY:  DAVE </w:t>
      </w:r>
      <w:r w:rsidR="000569FA" w:rsidRPr="00DD06B4">
        <w:t>STEWART, PLANNER, PLANNING &amp; DESIGN SECTION</w:t>
      </w:r>
    </w:p>
    <w:p w:rsidR="000569FA" w:rsidRPr="00DD06B4" w:rsidRDefault="000569FA" w:rsidP="000569FA">
      <w:pPr>
        <w:jc w:val="both"/>
        <w:rPr>
          <w:rFonts w:cs="Arial"/>
          <w:szCs w:val="22"/>
        </w:rPr>
      </w:pPr>
    </w:p>
    <w:p w:rsidR="000569FA" w:rsidRPr="00DD06B4" w:rsidRDefault="000569FA" w:rsidP="000569FA">
      <w:pPr>
        <w:jc w:val="both"/>
        <w:rPr>
          <w:rFonts w:cs="Arial"/>
          <w:szCs w:val="22"/>
        </w:rPr>
      </w:pPr>
      <w:r w:rsidRPr="00DD06B4">
        <w:rPr>
          <w:rFonts w:cs="Arial"/>
          <w:szCs w:val="22"/>
        </w:rPr>
        <w:t>RE:  REZONING APPLICATION NO. RA3</w:t>
      </w:r>
      <w:r w:rsidR="00A8714B">
        <w:rPr>
          <w:rFonts w:cs="Arial"/>
          <w:szCs w:val="22"/>
        </w:rPr>
        <w:t>30</w:t>
      </w:r>
      <w:r w:rsidR="00D33287">
        <w:rPr>
          <w:rFonts w:cs="Arial"/>
          <w:szCs w:val="22"/>
        </w:rPr>
        <w:t xml:space="preserve"> </w:t>
      </w:r>
      <w:r w:rsidR="00A8714B">
        <w:rPr>
          <w:rFonts w:cs="Arial"/>
          <w:szCs w:val="22"/>
        </w:rPr>
        <w:t xml:space="preserve">- 2875 </w:t>
      </w:r>
      <w:r w:rsidR="006425F8">
        <w:rPr>
          <w:rFonts w:cs="Arial"/>
          <w:szCs w:val="22"/>
        </w:rPr>
        <w:t>DEPARTURE BAY ROAD</w:t>
      </w:r>
    </w:p>
    <w:p w:rsidR="000569FA" w:rsidRPr="00DD06B4" w:rsidRDefault="000569FA" w:rsidP="000569FA">
      <w:pPr>
        <w:pBdr>
          <w:bottom w:val="single" w:sz="4" w:space="1" w:color="auto"/>
        </w:pBdr>
        <w:jc w:val="both"/>
        <w:rPr>
          <w:rFonts w:cs="Arial"/>
          <w:szCs w:val="22"/>
        </w:rPr>
      </w:pPr>
    </w:p>
    <w:p w:rsidR="000569FA" w:rsidRDefault="000569FA" w:rsidP="000569FA">
      <w:pPr>
        <w:jc w:val="both"/>
        <w:rPr>
          <w:rFonts w:cs="Arial"/>
          <w:szCs w:val="22"/>
        </w:rPr>
      </w:pPr>
    </w:p>
    <w:p w:rsidR="000F5C9C" w:rsidRPr="00DD06B4" w:rsidRDefault="000F5C9C" w:rsidP="000569FA">
      <w:pPr>
        <w:jc w:val="both"/>
        <w:rPr>
          <w:rFonts w:cs="Arial"/>
          <w:szCs w:val="22"/>
        </w:rPr>
      </w:pPr>
    </w:p>
    <w:p w:rsidR="000569FA" w:rsidRPr="00DD06B4" w:rsidRDefault="000569FA" w:rsidP="000569FA">
      <w:pPr>
        <w:ind w:right="-421"/>
        <w:jc w:val="both"/>
        <w:rPr>
          <w:rFonts w:cs="Arial"/>
          <w:szCs w:val="22"/>
        </w:rPr>
      </w:pPr>
      <w:r w:rsidRPr="00DD06B4">
        <w:rPr>
          <w:rFonts w:cs="Arial"/>
          <w:szCs w:val="22"/>
          <w:u w:val="single"/>
        </w:rPr>
        <w:t>STAFF RECOMMENDATION</w:t>
      </w:r>
      <w:r w:rsidRPr="00DD06B4">
        <w:rPr>
          <w:rFonts w:cs="Arial"/>
          <w:szCs w:val="22"/>
        </w:rPr>
        <w:t>:</w:t>
      </w:r>
    </w:p>
    <w:p w:rsidR="000569FA" w:rsidRPr="00DD06B4" w:rsidRDefault="000569FA" w:rsidP="000569FA">
      <w:pPr>
        <w:ind w:right="-421"/>
        <w:jc w:val="both"/>
      </w:pPr>
    </w:p>
    <w:p w:rsidR="007C1893" w:rsidRDefault="000569FA" w:rsidP="000569FA">
      <w:pPr>
        <w:ind w:right="-421"/>
        <w:jc w:val="both"/>
      </w:pPr>
      <w:r w:rsidRPr="00DD06B4">
        <w:rPr>
          <w:caps/>
        </w:rPr>
        <w:t>T</w:t>
      </w:r>
      <w:r w:rsidR="007C1893">
        <w:t>hat Council:</w:t>
      </w:r>
    </w:p>
    <w:p w:rsidR="000569FA" w:rsidRDefault="000569FA" w:rsidP="007C1893">
      <w:pPr>
        <w:pStyle w:val="ListParagraph"/>
        <w:numPr>
          <w:ilvl w:val="0"/>
          <w:numId w:val="5"/>
        </w:numPr>
        <w:ind w:right="-421"/>
        <w:jc w:val="both"/>
      </w:pPr>
      <w:r w:rsidRPr="00DD06B4">
        <w:t xml:space="preserve">receive the report pertaining to “ZONING AMENDMENT BYLAW </w:t>
      </w:r>
      <w:r w:rsidR="00AF68FF" w:rsidRPr="00AF68FF">
        <w:t>2014 NO. 4500.0</w:t>
      </w:r>
      <w:r w:rsidRPr="00AF68FF">
        <w:t>6</w:t>
      </w:r>
      <w:r w:rsidR="00AF68FF" w:rsidRPr="00AF68FF">
        <w:t>4</w:t>
      </w:r>
      <w:r w:rsidRPr="00DD06B4">
        <w:t>”</w:t>
      </w:r>
      <w:r w:rsidR="007C1893">
        <w:t>; and</w:t>
      </w:r>
    </w:p>
    <w:p w:rsidR="007C1893" w:rsidRPr="00DD06B4" w:rsidRDefault="007C1893" w:rsidP="007C1893">
      <w:pPr>
        <w:pStyle w:val="ListParagraph"/>
        <w:numPr>
          <w:ilvl w:val="0"/>
          <w:numId w:val="5"/>
        </w:numPr>
        <w:ind w:right="-421"/>
        <w:jc w:val="both"/>
      </w:pPr>
      <w:r>
        <w:t>direct Staff to secure the community contribution</w:t>
      </w:r>
      <w:r w:rsidR="006425F8">
        <w:t xml:space="preserve"> and road </w:t>
      </w:r>
      <w:r w:rsidR="00F33337">
        <w:t>dedication</w:t>
      </w:r>
      <w:r>
        <w:t xml:space="preserve"> </w:t>
      </w:r>
      <w:r w:rsidR="00F33337">
        <w:t xml:space="preserve">reserve fund </w:t>
      </w:r>
      <w:r>
        <w:t>prior to the adoption of the bylaw should Council support the bylaw at Third Reading.</w:t>
      </w:r>
    </w:p>
    <w:p w:rsidR="000569FA" w:rsidRDefault="000569FA" w:rsidP="000569FA">
      <w:pPr>
        <w:ind w:right="-421"/>
        <w:jc w:val="both"/>
      </w:pPr>
    </w:p>
    <w:p w:rsidR="00CC6A8E" w:rsidRDefault="00CC6A8E" w:rsidP="000569FA">
      <w:pPr>
        <w:ind w:right="-421"/>
        <w:jc w:val="both"/>
      </w:pPr>
    </w:p>
    <w:p w:rsidR="00ED0C3A" w:rsidRDefault="00ED0C3A" w:rsidP="00ED0C3A">
      <w:pPr>
        <w:ind w:right="-360"/>
        <w:jc w:val="both"/>
      </w:pPr>
      <w:r>
        <w:rPr>
          <w:u w:val="single"/>
        </w:rPr>
        <w:t>A</w:t>
      </w:r>
      <w:r w:rsidR="00661147">
        <w:rPr>
          <w:u w:val="single"/>
        </w:rPr>
        <w:t xml:space="preserve">DVISORY PLANNING COMMITTEE </w:t>
      </w:r>
      <w:r>
        <w:rPr>
          <w:u w:val="single"/>
        </w:rPr>
        <w:t>RECOMMENDATION:</w:t>
      </w:r>
    </w:p>
    <w:p w:rsidR="00ED0C3A" w:rsidRDefault="00ED0C3A" w:rsidP="00ED0C3A">
      <w:pPr>
        <w:ind w:right="-360"/>
        <w:jc w:val="both"/>
      </w:pPr>
    </w:p>
    <w:p w:rsidR="007218E0" w:rsidRDefault="007218E0" w:rsidP="00AF68FF">
      <w:pPr>
        <w:ind w:right="-360"/>
        <w:jc w:val="both"/>
        <w:rPr>
          <w:szCs w:val="22"/>
        </w:rPr>
      </w:pPr>
      <w:r>
        <w:rPr>
          <w:szCs w:val="22"/>
        </w:rPr>
        <w:t>The</w:t>
      </w:r>
      <w:r w:rsidR="00661147">
        <w:rPr>
          <w:szCs w:val="22"/>
        </w:rPr>
        <w:t xml:space="preserve"> </w:t>
      </w:r>
      <w:r>
        <w:rPr>
          <w:szCs w:val="22"/>
        </w:rPr>
        <w:t xml:space="preserve"> application</w:t>
      </w:r>
      <w:r w:rsidR="00661147">
        <w:rPr>
          <w:szCs w:val="22"/>
        </w:rPr>
        <w:t xml:space="preserve"> </w:t>
      </w:r>
      <w:r>
        <w:rPr>
          <w:szCs w:val="22"/>
        </w:rPr>
        <w:t xml:space="preserve"> was </w:t>
      </w:r>
      <w:r w:rsidR="00661147">
        <w:rPr>
          <w:szCs w:val="22"/>
        </w:rPr>
        <w:t xml:space="preserve"> </w:t>
      </w:r>
      <w:r>
        <w:rPr>
          <w:szCs w:val="22"/>
        </w:rPr>
        <w:t xml:space="preserve">presented </w:t>
      </w:r>
      <w:r w:rsidR="00661147">
        <w:rPr>
          <w:szCs w:val="22"/>
        </w:rPr>
        <w:t xml:space="preserve"> </w:t>
      </w:r>
      <w:r>
        <w:rPr>
          <w:szCs w:val="22"/>
        </w:rPr>
        <w:t>to</w:t>
      </w:r>
      <w:r w:rsidR="00661147">
        <w:rPr>
          <w:szCs w:val="22"/>
        </w:rPr>
        <w:t xml:space="preserve"> </w:t>
      </w:r>
      <w:r>
        <w:rPr>
          <w:szCs w:val="22"/>
        </w:rPr>
        <w:t xml:space="preserve"> </w:t>
      </w:r>
      <w:r w:rsidR="00661147">
        <w:rPr>
          <w:szCs w:val="22"/>
        </w:rPr>
        <w:t>the  Advisory Planning Committee (</w:t>
      </w:r>
      <w:r>
        <w:rPr>
          <w:szCs w:val="22"/>
        </w:rPr>
        <w:t>APC</w:t>
      </w:r>
      <w:r w:rsidR="00661147">
        <w:rPr>
          <w:szCs w:val="22"/>
        </w:rPr>
        <w:t xml:space="preserve">) at is meeting of </w:t>
      </w:r>
      <w:r>
        <w:rPr>
          <w:szCs w:val="22"/>
        </w:rPr>
        <w:t xml:space="preserve">2014-JAN-21.  </w:t>
      </w:r>
      <w:r w:rsidR="00661147">
        <w:rPr>
          <w:szCs w:val="22"/>
        </w:rPr>
        <w:t xml:space="preserve">The </w:t>
      </w:r>
      <w:r>
        <w:rPr>
          <w:szCs w:val="22"/>
        </w:rPr>
        <w:t xml:space="preserve">APC </w:t>
      </w:r>
      <w:r w:rsidR="00F33337">
        <w:rPr>
          <w:szCs w:val="22"/>
        </w:rPr>
        <w:t>did not achieve</w:t>
      </w:r>
      <w:r>
        <w:rPr>
          <w:szCs w:val="22"/>
        </w:rPr>
        <w:t xml:space="preserve"> a quorum during the meeting</w:t>
      </w:r>
      <w:r w:rsidR="00661147">
        <w:rPr>
          <w:szCs w:val="22"/>
        </w:rPr>
        <w:t xml:space="preserve"> and, </w:t>
      </w:r>
      <w:r>
        <w:rPr>
          <w:szCs w:val="22"/>
        </w:rPr>
        <w:t>as such</w:t>
      </w:r>
      <w:r w:rsidR="00661147">
        <w:rPr>
          <w:szCs w:val="22"/>
        </w:rPr>
        <w:t>,</w:t>
      </w:r>
      <w:r>
        <w:rPr>
          <w:szCs w:val="22"/>
        </w:rPr>
        <w:t xml:space="preserve"> </w:t>
      </w:r>
      <w:r w:rsidR="00A35012">
        <w:rPr>
          <w:szCs w:val="22"/>
        </w:rPr>
        <w:t>were</w:t>
      </w:r>
      <w:r>
        <w:rPr>
          <w:szCs w:val="22"/>
        </w:rPr>
        <w:t xml:space="preserve"> unable to provide a formal recommendation.  </w:t>
      </w:r>
      <w:r w:rsidR="00AF68FF">
        <w:rPr>
          <w:szCs w:val="22"/>
        </w:rPr>
        <w:t xml:space="preserve">The Committee </w:t>
      </w:r>
      <w:r w:rsidR="00F33337">
        <w:rPr>
          <w:szCs w:val="22"/>
        </w:rPr>
        <w:t xml:space="preserve">members </w:t>
      </w:r>
      <w:r w:rsidR="00AF68FF">
        <w:rPr>
          <w:szCs w:val="22"/>
        </w:rPr>
        <w:t>indicated they were generally</w:t>
      </w:r>
      <w:r>
        <w:rPr>
          <w:szCs w:val="22"/>
        </w:rPr>
        <w:t xml:space="preserve"> in favour of this application provided neighbourhood consultation is undertaken.  </w:t>
      </w:r>
    </w:p>
    <w:p w:rsidR="007218E0" w:rsidRDefault="007218E0" w:rsidP="00AF68FF">
      <w:pPr>
        <w:ind w:right="-360"/>
        <w:jc w:val="both"/>
        <w:rPr>
          <w:szCs w:val="22"/>
        </w:rPr>
      </w:pPr>
    </w:p>
    <w:p w:rsidR="009A2288" w:rsidRDefault="00530B4B" w:rsidP="000569FA">
      <w:pPr>
        <w:ind w:right="-421"/>
        <w:jc w:val="both"/>
        <w:rPr>
          <w:i/>
        </w:rPr>
      </w:pPr>
      <w:r w:rsidRPr="00530B4B">
        <w:rPr>
          <w:i/>
          <w:noProof/>
          <w:color w:val="FF0000"/>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318.35pt;margin-top:10.1pt;width:159.95pt;height:19.45pt;z-index:251663360;mso-height-percent:200;mso-height-percent:200;mso-width-relative:margin;mso-height-relative:margin" fillcolor="#5a5a5a [2109]">
            <v:textbox style="mso-next-textbox:#_x0000_s1026;mso-fit-shape-to-text:t">
              <w:txbxContent>
                <w:p w:rsidR="006A1F60" w:rsidRPr="003D14B8" w:rsidRDefault="006A1F60" w:rsidP="000569FA">
                  <w:pPr>
                    <w:jc w:val="center"/>
                    <w:rPr>
                      <w:b/>
                      <w:color w:val="FFFFFF" w:themeColor="background1"/>
                      <w:sz w:val="20"/>
                    </w:rPr>
                  </w:pPr>
                  <w:r w:rsidRPr="003D14B8">
                    <w:rPr>
                      <w:b/>
                      <w:color w:val="FFFFFF" w:themeColor="background1"/>
                      <w:sz w:val="20"/>
                    </w:rPr>
                    <w:t>Map 1 – General City Location</w:t>
                  </w:r>
                </w:p>
              </w:txbxContent>
            </v:textbox>
          </v:shape>
        </w:pict>
      </w:r>
      <w:r w:rsidR="00F33337">
        <w:rPr>
          <w:i/>
          <w:noProof/>
          <w:lang w:eastAsia="en-CA"/>
        </w:rPr>
        <w:drawing>
          <wp:anchor distT="0" distB="0" distL="114300" distR="114300" simplePos="0" relativeHeight="251675648" behindDoc="1" locked="0" layoutInCell="1" allowOverlap="1">
            <wp:simplePos x="0" y="0"/>
            <wp:positionH relativeFrom="column">
              <wp:posOffset>2447925</wp:posOffset>
            </wp:positionH>
            <wp:positionV relativeFrom="paragraph">
              <wp:posOffset>107315</wp:posOffset>
            </wp:positionV>
            <wp:extent cx="3667125" cy="4114800"/>
            <wp:effectExtent l="19050" t="0" r="9525" b="0"/>
            <wp:wrapTight wrapText="bothSides">
              <wp:wrapPolygon edited="0">
                <wp:start x="-112" y="0"/>
                <wp:lineTo x="-112" y="21500"/>
                <wp:lineTo x="21656" y="21500"/>
                <wp:lineTo x="21656" y="0"/>
                <wp:lineTo x="-112" y="0"/>
              </wp:wrapPolygon>
            </wp:wrapTight>
            <wp:docPr id="1" name="Picture 0" descr="location key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 key map.bmp"/>
                    <pic:cNvPicPr/>
                  </pic:nvPicPr>
                  <pic:blipFill>
                    <a:blip r:embed="rId8" cstate="print"/>
                    <a:stretch>
                      <a:fillRect/>
                    </a:stretch>
                  </pic:blipFill>
                  <pic:spPr>
                    <a:xfrm>
                      <a:off x="0" y="0"/>
                      <a:ext cx="3667125" cy="4114800"/>
                    </a:xfrm>
                    <a:prstGeom prst="rect">
                      <a:avLst/>
                    </a:prstGeom>
                  </pic:spPr>
                </pic:pic>
              </a:graphicData>
            </a:graphic>
          </wp:anchor>
        </w:drawing>
      </w:r>
      <w:r>
        <w:rPr>
          <w:i/>
          <w:noProof/>
          <w:lang w:eastAsia="en-CA"/>
        </w:rPr>
        <w:pict>
          <v:shape id="_x0000_s1035" type="#_x0000_t202" style="position:absolute;left:0;text-align:left;margin-left:-9.75pt;margin-top:5.05pt;width:189.75pt;height:288.3pt;z-index:251671552;mso-position-horizontal-relative:text;mso-position-vertical-relative:text" strokecolor="white [3212]">
            <v:textbox style="mso-next-textbox:#_x0000_s1035">
              <w:txbxContent>
                <w:p w:rsidR="006A1F60" w:rsidRDefault="006A1F60" w:rsidP="00A85A65">
                  <w:pPr>
                    <w:ind w:right="-421"/>
                    <w:jc w:val="both"/>
                  </w:pPr>
                  <w:r w:rsidRPr="00A85A65">
                    <w:rPr>
                      <w:u w:val="single"/>
                    </w:rPr>
                    <w:t>PURPOSE</w:t>
                  </w:r>
                  <w:r>
                    <w:t>:</w:t>
                  </w:r>
                </w:p>
                <w:p w:rsidR="006A1F60" w:rsidRDefault="006A1F60" w:rsidP="00A85A65">
                  <w:pPr>
                    <w:ind w:right="-421"/>
                    <w:jc w:val="both"/>
                  </w:pPr>
                </w:p>
                <w:p w:rsidR="006A1F60" w:rsidRPr="00DD06B4" w:rsidRDefault="006A1F60" w:rsidP="00231B73">
                  <w:pPr>
                    <w:jc w:val="both"/>
                  </w:pPr>
                  <w:r w:rsidRPr="00DD06B4">
                    <w:t>The purpose of this report is</w:t>
                  </w:r>
                  <w:r>
                    <w:t xml:space="preserve"> to</w:t>
                  </w:r>
                  <w:r w:rsidRPr="00DD06B4">
                    <w:t xml:space="preserve"> present a rezoning applicat</w:t>
                  </w:r>
                  <w:r>
                    <w:t>ion for the property located at 2875 Departure Bay Road in order to permit a site specific liquor retail store use.</w:t>
                  </w:r>
                </w:p>
                <w:p w:rsidR="006A1F60" w:rsidRDefault="006A1F60"/>
                <w:p w:rsidR="006A1F60" w:rsidRDefault="006A1F60" w:rsidP="00A85A65">
                  <w:pPr>
                    <w:ind w:right="-421"/>
                    <w:jc w:val="both"/>
                  </w:pPr>
                </w:p>
                <w:p w:rsidR="006A1F60" w:rsidRDefault="006A1F60" w:rsidP="00A85A65">
                  <w:pPr>
                    <w:ind w:right="-421"/>
                    <w:jc w:val="both"/>
                  </w:pPr>
                  <w:r w:rsidRPr="00A85A65">
                    <w:rPr>
                      <w:u w:val="single"/>
                    </w:rPr>
                    <w:t>BACKGROUND</w:t>
                  </w:r>
                  <w:r>
                    <w:t>:</w:t>
                  </w:r>
                </w:p>
                <w:p w:rsidR="006A1F60" w:rsidRDefault="006A1F60" w:rsidP="00A85A65">
                  <w:pPr>
                    <w:ind w:right="-421"/>
                    <w:jc w:val="both"/>
                  </w:pPr>
                </w:p>
                <w:p w:rsidR="006A1F60" w:rsidRPr="00DD06B4" w:rsidRDefault="006A1F60" w:rsidP="00667EFC">
                  <w:pPr>
                    <w:jc w:val="both"/>
                  </w:pPr>
                  <w:r w:rsidRPr="00DD06B4">
                    <w:t xml:space="preserve">The City has received a rezoning application from </w:t>
                  </w:r>
                  <w:r>
                    <w:t xml:space="preserve">Rising Tide Consultants </w:t>
                  </w:r>
                  <w:r w:rsidRPr="00DD06B4">
                    <w:t xml:space="preserve">on behalf </w:t>
                  </w:r>
                  <w:r>
                    <w:t>Mr. John Wicks (Black Bear Pub) and 7-Eleven Canada Inc.</w:t>
                  </w:r>
                  <w:r w:rsidRPr="00DD06B4">
                    <w:t>, to rezone the subject propert</w:t>
                  </w:r>
                  <w:r>
                    <w:t>y</w:t>
                  </w:r>
                  <w:r w:rsidRPr="00DD06B4">
                    <w:t xml:space="preserve"> </w:t>
                  </w:r>
                  <w:r>
                    <w:t>in order to permit a site specific liquor retail store (LRS) use within the Neighbourhood Centre (CC2) zone.</w:t>
                  </w:r>
                </w:p>
                <w:p w:rsidR="006A1F60" w:rsidRDefault="006A1F60"/>
                <w:p w:rsidR="006A1F60" w:rsidRDefault="006A1F60"/>
              </w:txbxContent>
            </v:textbox>
          </v:shape>
        </w:pict>
      </w:r>
    </w:p>
    <w:p w:rsidR="000569FA" w:rsidRPr="000569FA" w:rsidRDefault="000569FA" w:rsidP="000569FA">
      <w:pPr>
        <w:ind w:right="-421"/>
        <w:jc w:val="both"/>
        <w:rPr>
          <w:i/>
        </w:rPr>
      </w:pPr>
    </w:p>
    <w:p w:rsidR="005B6F03" w:rsidRDefault="005B6F03" w:rsidP="000569FA">
      <w:pPr>
        <w:ind w:right="-144"/>
        <w:jc w:val="both"/>
        <w:rPr>
          <w:b/>
          <w:i/>
        </w:rPr>
      </w:pPr>
    </w:p>
    <w:p w:rsidR="005B6F03" w:rsidRDefault="005B6F03" w:rsidP="000569FA">
      <w:pPr>
        <w:ind w:right="-144"/>
        <w:jc w:val="both"/>
        <w:rPr>
          <w:b/>
          <w:i/>
        </w:rPr>
      </w:pPr>
    </w:p>
    <w:p w:rsidR="005B6F03" w:rsidRDefault="005B6F03" w:rsidP="000569FA">
      <w:pPr>
        <w:ind w:right="-144"/>
        <w:jc w:val="both"/>
        <w:rPr>
          <w:b/>
          <w:i/>
        </w:rPr>
      </w:pPr>
    </w:p>
    <w:p w:rsidR="005B6F03" w:rsidRDefault="005B6F03" w:rsidP="000569FA">
      <w:pPr>
        <w:ind w:right="-144"/>
        <w:jc w:val="both"/>
        <w:rPr>
          <w:b/>
          <w:i/>
        </w:rPr>
      </w:pPr>
    </w:p>
    <w:p w:rsidR="005B6F03" w:rsidRDefault="005B6F0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231B73" w:rsidRDefault="00231B73" w:rsidP="000569FA">
      <w:pPr>
        <w:ind w:right="-144"/>
        <w:jc w:val="both"/>
        <w:rPr>
          <w:b/>
          <w:i/>
        </w:rPr>
      </w:pPr>
    </w:p>
    <w:p w:rsidR="00ED0C3A" w:rsidRDefault="00ED0C3A" w:rsidP="000569FA">
      <w:pPr>
        <w:ind w:right="-144"/>
        <w:jc w:val="both"/>
        <w:rPr>
          <w:b/>
          <w:i/>
        </w:rPr>
      </w:pPr>
    </w:p>
    <w:p w:rsidR="00ED0C3A" w:rsidRDefault="00ED0C3A" w:rsidP="000569FA">
      <w:pPr>
        <w:ind w:right="-144"/>
        <w:jc w:val="both"/>
        <w:rPr>
          <w:b/>
          <w:i/>
        </w:rPr>
      </w:pPr>
    </w:p>
    <w:p w:rsidR="00F33337" w:rsidRDefault="00F33337" w:rsidP="000569FA">
      <w:pPr>
        <w:ind w:right="-144"/>
        <w:jc w:val="both"/>
        <w:rPr>
          <w:b/>
          <w:i/>
        </w:rPr>
      </w:pPr>
    </w:p>
    <w:p w:rsidR="005B6F03" w:rsidRDefault="00231B73" w:rsidP="000569FA">
      <w:pPr>
        <w:ind w:right="-144"/>
        <w:jc w:val="both"/>
        <w:rPr>
          <w:b/>
          <w:i/>
        </w:rPr>
      </w:pPr>
      <w:r>
        <w:rPr>
          <w:b/>
          <w:i/>
        </w:rPr>
        <w:lastRenderedPageBreak/>
        <w:t>Subject Pr</w:t>
      </w:r>
      <w:r w:rsidR="005B6F03">
        <w:rPr>
          <w:b/>
          <w:i/>
        </w:rPr>
        <w:t>operty</w:t>
      </w:r>
      <w:r w:rsidR="00D33287">
        <w:rPr>
          <w:b/>
          <w:i/>
        </w:rPr>
        <w:t>:</w:t>
      </w:r>
    </w:p>
    <w:p w:rsidR="00D33287" w:rsidRDefault="00D33287" w:rsidP="000569FA">
      <w:pPr>
        <w:ind w:right="-144"/>
        <w:jc w:val="both"/>
        <w:rPr>
          <w:b/>
          <w:i/>
        </w:rPr>
      </w:pPr>
    </w:p>
    <w:tbl>
      <w:tblPr>
        <w:tblStyle w:val="TableGrid"/>
        <w:tblW w:w="9360" w:type="dxa"/>
        <w:tblInd w:w="108" w:type="dxa"/>
        <w:tblLook w:val="04A0"/>
      </w:tblPr>
      <w:tblGrid>
        <w:gridCol w:w="2250"/>
        <w:gridCol w:w="7110"/>
      </w:tblGrid>
      <w:tr w:rsidR="005B6F03" w:rsidRPr="005B6F03" w:rsidTr="00661147">
        <w:tc>
          <w:tcPr>
            <w:tcW w:w="2250" w:type="dxa"/>
          </w:tcPr>
          <w:p w:rsidR="005B6F03" w:rsidRPr="005B6F03" w:rsidRDefault="005B6F03" w:rsidP="009D6528">
            <w:pPr>
              <w:spacing w:before="60" w:after="60"/>
              <w:ind w:right="-144"/>
              <w:jc w:val="both"/>
            </w:pPr>
            <w:r w:rsidRPr="005B6F03">
              <w:t>Current Zoning</w:t>
            </w:r>
            <w:r>
              <w:t>:</w:t>
            </w:r>
          </w:p>
        </w:tc>
        <w:tc>
          <w:tcPr>
            <w:tcW w:w="7110" w:type="dxa"/>
          </w:tcPr>
          <w:p w:rsidR="005B6F03" w:rsidRPr="005B6F03" w:rsidRDefault="00ED0C3A" w:rsidP="00ED0C3A">
            <w:pPr>
              <w:spacing w:before="60" w:after="60"/>
              <w:ind w:right="-144"/>
              <w:jc w:val="both"/>
            </w:pPr>
            <w:r>
              <w:t>Neighbourhood Centre (CC2)</w:t>
            </w:r>
          </w:p>
        </w:tc>
      </w:tr>
      <w:tr w:rsidR="005B6F03" w:rsidRPr="005B6F03" w:rsidTr="00661147">
        <w:tc>
          <w:tcPr>
            <w:tcW w:w="2250" w:type="dxa"/>
          </w:tcPr>
          <w:p w:rsidR="005B6F03" w:rsidRPr="005B6F03" w:rsidRDefault="005B6F03" w:rsidP="009D6528">
            <w:pPr>
              <w:spacing w:before="60" w:after="60"/>
              <w:ind w:right="-144"/>
              <w:jc w:val="both"/>
            </w:pPr>
            <w:r w:rsidRPr="005B6F03">
              <w:t>Proposed Zoning</w:t>
            </w:r>
            <w:r>
              <w:t>:</w:t>
            </w:r>
          </w:p>
        </w:tc>
        <w:tc>
          <w:tcPr>
            <w:tcW w:w="7110" w:type="dxa"/>
          </w:tcPr>
          <w:p w:rsidR="005B6F03" w:rsidRPr="005B6F03" w:rsidRDefault="00ED0C3A" w:rsidP="00ED0C3A">
            <w:pPr>
              <w:spacing w:before="60" w:after="60"/>
              <w:ind w:right="-144"/>
              <w:jc w:val="both"/>
            </w:pPr>
            <w:r>
              <w:t>Neighbourhood Centre (CC2)</w:t>
            </w:r>
          </w:p>
        </w:tc>
      </w:tr>
      <w:tr w:rsidR="005B6F03" w:rsidRPr="005B6F03" w:rsidTr="00661147">
        <w:tc>
          <w:tcPr>
            <w:tcW w:w="2250" w:type="dxa"/>
          </w:tcPr>
          <w:p w:rsidR="005B6F03" w:rsidRPr="005B6F03" w:rsidRDefault="005B6F03" w:rsidP="009D6528">
            <w:pPr>
              <w:spacing w:before="60" w:after="60"/>
              <w:ind w:right="-144"/>
              <w:jc w:val="both"/>
            </w:pPr>
            <w:r>
              <w:t>Purpose:</w:t>
            </w:r>
          </w:p>
        </w:tc>
        <w:tc>
          <w:tcPr>
            <w:tcW w:w="7110" w:type="dxa"/>
          </w:tcPr>
          <w:p w:rsidR="005B6F03" w:rsidRPr="005B6F03" w:rsidRDefault="005B6F03" w:rsidP="00ED0C3A">
            <w:pPr>
              <w:spacing w:before="60" w:after="60"/>
              <w:ind w:right="-144"/>
              <w:jc w:val="both"/>
            </w:pPr>
            <w:r>
              <w:t>To permit</w:t>
            </w:r>
            <w:r w:rsidR="00ED0C3A">
              <w:t xml:space="preserve"> a LRS as a site specific use</w:t>
            </w:r>
          </w:p>
        </w:tc>
      </w:tr>
      <w:tr w:rsidR="005B6F03" w:rsidRPr="005B6F03" w:rsidTr="00661147">
        <w:tc>
          <w:tcPr>
            <w:tcW w:w="2250" w:type="dxa"/>
          </w:tcPr>
          <w:p w:rsidR="005B6F03" w:rsidRPr="005B6F03" w:rsidRDefault="005B6F03" w:rsidP="009D6528">
            <w:pPr>
              <w:spacing w:before="60" w:after="60"/>
              <w:ind w:right="-144"/>
              <w:jc w:val="both"/>
            </w:pPr>
            <w:r w:rsidRPr="005B6F03">
              <w:t>Location</w:t>
            </w:r>
            <w:r>
              <w:t>:</w:t>
            </w:r>
          </w:p>
        </w:tc>
        <w:tc>
          <w:tcPr>
            <w:tcW w:w="7110" w:type="dxa"/>
          </w:tcPr>
          <w:p w:rsidR="005B6F03" w:rsidRPr="005B6F03" w:rsidRDefault="00ED0C3A" w:rsidP="00ED0C3A">
            <w:pPr>
              <w:spacing w:before="60" w:after="60"/>
              <w:ind w:right="-144"/>
              <w:jc w:val="both"/>
            </w:pPr>
            <w:r>
              <w:t>2875 Departure Bay Road</w:t>
            </w:r>
          </w:p>
        </w:tc>
      </w:tr>
      <w:tr w:rsidR="005B6F03" w:rsidRPr="005B6F03" w:rsidTr="00661147">
        <w:tc>
          <w:tcPr>
            <w:tcW w:w="2250" w:type="dxa"/>
          </w:tcPr>
          <w:p w:rsidR="005B6F03" w:rsidRPr="005B6F03" w:rsidRDefault="005B6F03" w:rsidP="009D6528">
            <w:pPr>
              <w:spacing w:before="60" w:after="60"/>
              <w:ind w:right="-144"/>
              <w:jc w:val="both"/>
            </w:pPr>
            <w:r w:rsidRPr="005B6F03">
              <w:t>Lot Size</w:t>
            </w:r>
            <w:r w:rsidR="009D6528">
              <w:t xml:space="preserve"> / Area</w:t>
            </w:r>
            <w:r>
              <w:t>:</w:t>
            </w:r>
          </w:p>
        </w:tc>
        <w:tc>
          <w:tcPr>
            <w:tcW w:w="7110" w:type="dxa"/>
          </w:tcPr>
          <w:p w:rsidR="009D6528" w:rsidRPr="009D6528" w:rsidRDefault="00ED0C3A" w:rsidP="00ED0C3A">
            <w:pPr>
              <w:spacing w:before="60" w:after="60"/>
              <w:ind w:right="-144"/>
              <w:jc w:val="both"/>
            </w:pPr>
            <w:r>
              <w:t>3,326m</w:t>
            </w:r>
            <w:r w:rsidRPr="00ED0C3A">
              <w:rPr>
                <w:vertAlign w:val="superscript"/>
              </w:rPr>
              <w:t>2</w:t>
            </w:r>
            <w:r>
              <w:t xml:space="preserve"> </w:t>
            </w:r>
          </w:p>
        </w:tc>
      </w:tr>
    </w:tbl>
    <w:p w:rsidR="00667EFC" w:rsidRDefault="00667EFC" w:rsidP="002859EF">
      <w:pPr>
        <w:jc w:val="both"/>
        <w:rPr>
          <w:rFonts w:cs="Arial"/>
          <w:color w:val="313131"/>
          <w:szCs w:val="22"/>
          <w:lang w:eastAsia="en-CA"/>
        </w:rPr>
      </w:pPr>
    </w:p>
    <w:p w:rsidR="008B5391" w:rsidRDefault="008B5391" w:rsidP="002859EF">
      <w:pPr>
        <w:jc w:val="both"/>
        <w:rPr>
          <w:rFonts w:cs="Arial"/>
          <w:color w:val="313131"/>
          <w:szCs w:val="22"/>
          <w:lang w:eastAsia="en-CA"/>
        </w:rPr>
      </w:pPr>
    </w:p>
    <w:p w:rsidR="000164C3" w:rsidRDefault="007218E0" w:rsidP="002859EF">
      <w:pPr>
        <w:jc w:val="both"/>
        <w:rPr>
          <w:rFonts w:cs="Arial"/>
          <w:color w:val="313131"/>
          <w:szCs w:val="22"/>
          <w:lang w:eastAsia="en-CA"/>
        </w:rPr>
      </w:pPr>
      <w:r>
        <w:rPr>
          <w:rFonts w:cs="Arial"/>
          <w:color w:val="313131"/>
          <w:szCs w:val="22"/>
          <w:lang w:eastAsia="en-CA"/>
        </w:rPr>
        <w:t>The subject property is located on the corner of Departure Bay Road and Bay Street</w:t>
      </w:r>
      <w:r w:rsidR="000164C3">
        <w:rPr>
          <w:rFonts w:cs="Arial"/>
          <w:color w:val="313131"/>
          <w:szCs w:val="22"/>
          <w:lang w:eastAsia="en-CA"/>
        </w:rPr>
        <w:t xml:space="preserve"> </w:t>
      </w:r>
      <w:r w:rsidR="00FC41DD">
        <w:rPr>
          <w:rFonts w:cs="Arial"/>
          <w:color w:val="313131"/>
          <w:szCs w:val="22"/>
          <w:lang w:eastAsia="en-CA"/>
        </w:rPr>
        <w:t xml:space="preserve">within the village core of the Departure Bay neighbourhood and </w:t>
      </w:r>
      <w:r w:rsidR="000164C3">
        <w:rPr>
          <w:rFonts w:cs="Arial"/>
          <w:color w:val="313131"/>
          <w:szCs w:val="22"/>
          <w:lang w:eastAsia="en-CA"/>
        </w:rPr>
        <w:t>across the street from the Departure Bay Beach.  The property is located directly adjacent to Departure Bay Centennial Park to the west</w:t>
      </w:r>
      <w:r>
        <w:rPr>
          <w:rFonts w:cs="Arial"/>
          <w:color w:val="313131"/>
          <w:szCs w:val="22"/>
          <w:lang w:eastAsia="en-CA"/>
        </w:rPr>
        <w:t xml:space="preserve"> </w:t>
      </w:r>
      <w:r w:rsidR="000164C3">
        <w:rPr>
          <w:rFonts w:cs="Arial"/>
          <w:color w:val="313131"/>
          <w:szCs w:val="22"/>
          <w:lang w:eastAsia="en-CA"/>
        </w:rPr>
        <w:t>and Crown land</w:t>
      </w:r>
      <w:r w:rsidR="00661147">
        <w:rPr>
          <w:rFonts w:cs="Arial"/>
          <w:color w:val="313131"/>
          <w:szCs w:val="22"/>
          <w:lang w:eastAsia="en-CA"/>
        </w:rPr>
        <w:t>,</w:t>
      </w:r>
      <w:r w:rsidR="000164C3">
        <w:rPr>
          <w:rFonts w:cs="Arial"/>
          <w:color w:val="313131"/>
          <w:szCs w:val="22"/>
          <w:lang w:eastAsia="en-CA"/>
        </w:rPr>
        <w:t xml:space="preserve"> which includes a significant First Nation’s archeological site to the south</w:t>
      </w:r>
      <w:r w:rsidR="000164C3" w:rsidRPr="000164C3">
        <w:rPr>
          <w:rFonts w:cs="Arial"/>
          <w:color w:val="313131"/>
          <w:szCs w:val="22"/>
          <w:lang w:eastAsia="en-CA"/>
        </w:rPr>
        <w:t xml:space="preserve">.  </w:t>
      </w:r>
    </w:p>
    <w:p w:rsidR="008B5391" w:rsidRDefault="008B5391" w:rsidP="002859EF">
      <w:pPr>
        <w:jc w:val="both"/>
        <w:rPr>
          <w:rFonts w:cs="Arial"/>
          <w:color w:val="313131"/>
          <w:szCs w:val="22"/>
          <w:lang w:eastAsia="en-CA"/>
        </w:rPr>
      </w:pPr>
    </w:p>
    <w:p w:rsidR="008B5391" w:rsidRDefault="008B5391" w:rsidP="002859EF">
      <w:pPr>
        <w:jc w:val="both"/>
        <w:rPr>
          <w:rFonts w:cs="Arial"/>
          <w:color w:val="313131"/>
          <w:szCs w:val="22"/>
          <w:lang w:eastAsia="en-CA"/>
        </w:rPr>
      </w:pPr>
    </w:p>
    <w:p w:rsidR="00661147" w:rsidRDefault="00D33287" w:rsidP="002859EF">
      <w:pPr>
        <w:jc w:val="both"/>
        <w:rPr>
          <w:rFonts w:cs="Arial"/>
          <w:color w:val="313131"/>
          <w:szCs w:val="22"/>
          <w:lang w:eastAsia="en-CA"/>
        </w:rPr>
      </w:pPr>
      <w:r>
        <w:rPr>
          <w:rFonts w:cs="Arial"/>
          <w:noProof/>
          <w:color w:val="313131"/>
          <w:szCs w:val="22"/>
          <w:lang w:eastAsia="en-CA"/>
        </w:rPr>
        <w:drawing>
          <wp:inline distT="0" distB="0" distL="0" distR="0">
            <wp:extent cx="5943600" cy="4670482"/>
            <wp:effectExtent l="19050" t="19050" r="19050" b="15818"/>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4670482"/>
                    </a:xfrm>
                    <a:prstGeom prst="rect">
                      <a:avLst/>
                    </a:prstGeom>
                    <a:noFill/>
                    <a:ln w="0">
                      <a:solidFill>
                        <a:schemeClr val="tx1"/>
                      </a:solidFill>
                      <a:miter lim="800000"/>
                      <a:headEnd/>
                      <a:tailEnd/>
                    </a:ln>
                    <a:effectLst/>
                  </pic:spPr>
                </pic:pic>
              </a:graphicData>
            </a:graphic>
          </wp:inline>
        </w:drawing>
      </w:r>
    </w:p>
    <w:p w:rsidR="00D33287" w:rsidRDefault="00D33287" w:rsidP="002859EF">
      <w:pPr>
        <w:jc w:val="both"/>
        <w:rPr>
          <w:rFonts w:cs="Arial"/>
          <w:color w:val="313131"/>
          <w:szCs w:val="22"/>
          <w:u w:val="single"/>
          <w:lang w:eastAsia="en-CA"/>
        </w:rPr>
      </w:pPr>
    </w:p>
    <w:p w:rsidR="00D33287" w:rsidRDefault="00D33287" w:rsidP="002859EF">
      <w:pPr>
        <w:jc w:val="both"/>
        <w:rPr>
          <w:rFonts w:cs="Arial"/>
          <w:color w:val="313131"/>
          <w:szCs w:val="22"/>
          <w:u w:val="single"/>
          <w:lang w:eastAsia="en-CA"/>
        </w:rPr>
      </w:pPr>
    </w:p>
    <w:p w:rsidR="00D33287" w:rsidRDefault="00D33287" w:rsidP="002859EF">
      <w:pPr>
        <w:jc w:val="both"/>
        <w:rPr>
          <w:rFonts w:cs="Arial"/>
          <w:color w:val="313131"/>
          <w:szCs w:val="22"/>
          <w:u w:val="single"/>
          <w:lang w:eastAsia="en-CA"/>
        </w:rPr>
      </w:pPr>
    </w:p>
    <w:p w:rsidR="00D33287" w:rsidRDefault="00D33287" w:rsidP="002859EF">
      <w:pPr>
        <w:jc w:val="both"/>
        <w:rPr>
          <w:rFonts w:cs="Arial"/>
          <w:color w:val="313131"/>
          <w:szCs w:val="22"/>
          <w:u w:val="single"/>
          <w:lang w:eastAsia="en-CA"/>
        </w:rPr>
      </w:pPr>
    </w:p>
    <w:p w:rsidR="00D33287" w:rsidRDefault="00D33287" w:rsidP="002859EF">
      <w:pPr>
        <w:jc w:val="both"/>
        <w:rPr>
          <w:rFonts w:cs="Arial"/>
          <w:color w:val="313131"/>
          <w:szCs w:val="22"/>
          <w:u w:val="single"/>
          <w:lang w:eastAsia="en-CA"/>
        </w:rPr>
      </w:pPr>
    </w:p>
    <w:p w:rsidR="00D33287" w:rsidRDefault="00D33287" w:rsidP="002859EF">
      <w:pPr>
        <w:jc w:val="both"/>
        <w:rPr>
          <w:rFonts w:cs="Arial"/>
          <w:color w:val="313131"/>
          <w:szCs w:val="22"/>
          <w:u w:val="single"/>
          <w:lang w:eastAsia="en-CA"/>
        </w:rPr>
      </w:pPr>
    </w:p>
    <w:p w:rsidR="0007590F" w:rsidRDefault="0007590F" w:rsidP="002859EF">
      <w:pPr>
        <w:jc w:val="both"/>
        <w:rPr>
          <w:rFonts w:cs="Arial"/>
          <w:color w:val="313131"/>
          <w:szCs w:val="22"/>
          <w:u w:val="single"/>
          <w:lang w:eastAsia="en-CA"/>
        </w:rPr>
      </w:pPr>
    </w:p>
    <w:p w:rsidR="00900D53" w:rsidRDefault="00900D53" w:rsidP="002859EF">
      <w:pPr>
        <w:jc w:val="both"/>
        <w:rPr>
          <w:rFonts w:cs="Arial"/>
          <w:color w:val="313131"/>
          <w:szCs w:val="22"/>
          <w:lang w:eastAsia="en-CA"/>
        </w:rPr>
      </w:pPr>
      <w:r w:rsidRPr="00900D53">
        <w:rPr>
          <w:rFonts w:cs="Arial"/>
          <w:color w:val="313131"/>
          <w:szCs w:val="22"/>
          <w:u w:val="single"/>
          <w:lang w:eastAsia="en-CA"/>
        </w:rPr>
        <w:t>DISCUSSION</w:t>
      </w:r>
      <w:r>
        <w:rPr>
          <w:rFonts w:cs="Arial"/>
          <w:color w:val="313131"/>
          <w:szCs w:val="22"/>
          <w:lang w:eastAsia="en-CA"/>
        </w:rPr>
        <w:t>:</w:t>
      </w:r>
    </w:p>
    <w:p w:rsidR="00900D53" w:rsidRPr="00D33287" w:rsidRDefault="00900D53" w:rsidP="002859EF">
      <w:pPr>
        <w:jc w:val="both"/>
        <w:rPr>
          <w:rFonts w:cs="Arial"/>
          <w:color w:val="313131"/>
          <w:sz w:val="20"/>
          <w:lang w:eastAsia="en-CA"/>
        </w:rPr>
      </w:pPr>
    </w:p>
    <w:p w:rsidR="000569FA" w:rsidRPr="000569FA" w:rsidRDefault="000569FA" w:rsidP="000569FA">
      <w:pPr>
        <w:jc w:val="both"/>
        <w:rPr>
          <w:i/>
          <w:szCs w:val="22"/>
        </w:rPr>
      </w:pPr>
      <w:r w:rsidRPr="000569FA">
        <w:rPr>
          <w:b/>
          <w:i/>
          <w:szCs w:val="22"/>
        </w:rPr>
        <w:t>Official Community Plan (OCP)</w:t>
      </w:r>
      <w:r w:rsidR="00661147">
        <w:rPr>
          <w:b/>
          <w:i/>
          <w:szCs w:val="22"/>
        </w:rPr>
        <w:t xml:space="preserve"> </w:t>
      </w:r>
      <w:r w:rsidR="00ED0C3A">
        <w:rPr>
          <w:b/>
          <w:i/>
          <w:szCs w:val="22"/>
        </w:rPr>
        <w:t>/ Neighbourhood Plan</w:t>
      </w:r>
    </w:p>
    <w:p w:rsidR="000569FA" w:rsidRDefault="000569FA" w:rsidP="00661147">
      <w:pPr>
        <w:ind w:right="-90"/>
        <w:jc w:val="both"/>
      </w:pPr>
      <w:r w:rsidRPr="00111FFE">
        <w:t>The subject propert</w:t>
      </w:r>
      <w:r w:rsidR="00ED0C3A">
        <w:t>y is</w:t>
      </w:r>
      <w:r w:rsidR="00C33BF8">
        <w:t xml:space="preserve"> </w:t>
      </w:r>
      <w:r w:rsidRPr="00111FFE">
        <w:t xml:space="preserve">located within the </w:t>
      </w:r>
      <w:r w:rsidR="0001267E" w:rsidRPr="004E28F9">
        <w:t>Neighbourhood</w:t>
      </w:r>
      <w:r w:rsidRPr="004E28F9">
        <w:t xml:space="preserve"> </w:t>
      </w:r>
      <w:r w:rsidR="00ED0C3A" w:rsidRPr="004E28F9">
        <w:t xml:space="preserve">Commercial Centre </w:t>
      </w:r>
      <w:r w:rsidRPr="004E28F9">
        <w:t xml:space="preserve">designation of the Official Community Plan (OCP).  </w:t>
      </w:r>
      <w:r w:rsidR="0001267E" w:rsidRPr="004E28F9">
        <w:t xml:space="preserve">The Neighbourhood </w:t>
      </w:r>
      <w:r w:rsidR="00ED0C3A" w:rsidRPr="004E28F9">
        <w:t xml:space="preserve">Commercial Centre </w:t>
      </w:r>
      <w:r w:rsidR="0001267E" w:rsidRPr="004E28F9">
        <w:t xml:space="preserve">designation </w:t>
      </w:r>
      <w:r w:rsidR="004E28F9" w:rsidRPr="004E28F9">
        <w:t>supports stand</w:t>
      </w:r>
      <w:r w:rsidR="00661147">
        <w:t>-</w:t>
      </w:r>
      <w:r w:rsidR="004E28F9" w:rsidRPr="004E28F9">
        <w:t>alone</w:t>
      </w:r>
      <w:r w:rsidR="004B22CC" w:rsidRPr="004E28F9">
        <w:t xml:space="preserve"> commercial services</w:t>
      </w:r>
      <w:r w:rsidR="00661147">
        <w:t>,</w:t>
      </w:r>
      <w:r w:rsidR="004B22CC" w:rsidRPr="004E28F9">
        <w:t xml:space="preserve"> including community services and facilities, personal service, commercial and retail facilities</w:t>
      </w:r>
      <w:r w:rsidR="004E28F9">
        <w:t xml:space="preserve"> providing for the day to day needs of local residents</w:t>
      </w:r>
      <w:r w:rsidR="004B22CC" w:rsidRPr="004E28F9">
        <w:t xml:space="preserve">.  </w:t>
      </w:r>
      <w:r w:rsidR="00FB0F69" w:rsidRPr="004E28F9">
        <w:t xml:space="preserve"> </w:t>
      </w:r>
    </w:p>
    <w:p w:rsidR="004B22CC" w:rsidRPr="00D33287" w:rsidRDefault="004B22CC" w:rsidP="00661147">
      <w:pPr>
        <w:ind w:right="-90"/>
        <w:jc w:val="both"/>
        <w:rPr>
          <w:sz w:val="20"/>
        </w:rPr>
      </w:pPr>
    </w:p>
    <w:p w:rsidR="00F554F4" w:rsidRDefault="00F554F4" w:rsidP="00661147">
      <w:pPr>
        <w:ind w:right="-90"/>
        <w:jc w:val="both"/>
      </w:pPr>
      <w:r>
        <w:t xml:space="preserve">The subject property is included within the </w:t>
      </w:r>
      <w:r w:rsidR="00A35012">
        <w:t>v</w:t>
      </w:r>
      <w:r>
        <w:t xml:space="preserve">illage </w:t>
      </w:r>
      <w:r w:rsidR="00A35012">
        <w:t>c</w:t>
      </w:r>
      <w:r>
        <w:t>ore of the Departure Bay Neighbourhood Plan</w:t>
      </w:r>
      <w:r w:rsidR="004E28F9">
        <w:t xml:space="preserve"> in an area which encourages small-scale</w:t>
      </w:r>
      <w:r w:rsidR="00661147">
        <w:t>,</w:t>
      </w:r>
      <w:r w:rsidR="004E28F9">
        <w:t xml:space="preserve"> mixed use development that w</w:t>
      </w:r>
      <w:r w:rsidR="00661147">
        <w:t>ould</w:t>
      </w:r>
      <w:r w:rsidR="004E28F9">
        <w:t xml:space="preserve"> provide locally-appropriate retail and basic community services.</w:t>
      </w:r>
    </w:p>
    <w:p w:rsidR="004B22CC" w:rsidRPr="00D33287" w:rsidRDefault="004B22CC" w:rsidP="00661147">
      <w:pPr>
        <w:ind w:right="-90"/>
        <w:jc w:val="both"/>
        <w:rPr>
          <w:i/>
          <w:sz w:val="20"/>
        </w:rPr>
      </w:pPr>
    </w:p>
    <w:p w:rsidR="000569FA" w:rsidRPr="00111FFE" w:rsidRDefault="000569FA" w:rsidP="00661147">
      <w:pPr>
        <w:ind w:right="-90"/>
        <w:jc w:val="both"/>
      </w:pPr>
      <w:r w:rsidRPr="00111FFE">
        <w:t>Staff is of the opinion that the proposed rezoning complies with the intent of the OCP</w:t>
      </w:r>
      <w:r w:rsidR="004E28F9">
        <w:t xml:space="preserve"> and the Departure Bay Neighbourhood Plan</w:t>
      </w:r>
      <w:r w:rsidRPr="00111FFE">
        <w:t>.</w:t>
      </w:r>
    </w:p>
    <w:p w:rsidR="000569FA" w:rsidRPr="00D33287" w:rsidRDefault="000569FA" w:rsidP="000569FA">
      <w:pPr>
        <w:jc w:val="both"/>
        <w:rPr>
          <w:b/>
          <w:i/>
          <w:sz w:val="20"/>
        </w:rPr>
      </w:pPr>
    </w:p>
    <w:p w:rsidR="00466580" w:rsidRPr="000569FA" w:rsidRDefault="000569FA" w:rsidP="00900D53">
      <w:pPr>
        <w:jc w:val="both"/>
        <w:rPr>
          <w:b/>
          <w:i/>
        </w:rPr>
      </w:pPr>
      <w:r w:rsidRPr="000569FA">
        <w:rPr>
          <w:b/>
          <w:i/>
        </w:rPr>
        <w:t>Proposed Development</w:t>
      </w:r>
    </w:p>
    <w:p w:rsidR="009146B9" w:rsidRDefault="0098331F" w:rsidP="00661147">
      <w:pPr>
        <w:ind w:right="-90"/>
        <w:jc w:val="both"/>
      </w:pPr>
      <w:r>
        <w:t>The applicant is proposing to relocate the existing liquor store from the property located at 6201 Doumont Road (Black Bear Pub) to the subject property at 2875 Departure Bay Road.  The existing LRS is located in a 134m</w:t>
      </w:r>
      <w:r w:rsidRPr="00661147">
        <w:rPr>
          <w:vertAlign w:val="superscript"/>
        </w:rPr>
        <w:t>2</w:t>
      </w:r>
      <w:r>
        <w:t xml:space="preserve"> stand</w:t>
      </w:r>
      <w:r w:rsidR="00661147">
        <w:t>-</w:t>
      </w:r>
      <w:r>
        <w:t>alone building.  The proposed LRS will be located adjacent to the 7-Eleven within the unused portion of the building previously occupied by Terry</w:t>
      </w:r>
      <w:r w:rsidR="0084614C">
        <w:t>’s Save Rite convenience store.</w:t>
      </w:r>
      <w:r w:rsidR="00D33287">
        <w:t xml:space="preserve">  The proposed LRS will have a floor area of 238m</w:t>
      </w:r>
      <w:r w:rsidR="00D33287" w:rsidRPr="00D33287">
        <w:rPr>
          <w:vertAlign w:val="superscript"/>
        </w:rPr>
        <w:t>2</w:t>
      </w:r>
      <w:r w:rsidR="00D33287">
        <w:t>.</w:t>
      </w:r>
    </w:p>
    <w:p w:rsidR="0084614C" w:rsidRPr="00D33287" w:rsidRDefault="0084614C" w:rsidP="00661147">
      <w:pPr>
        <w:ind w:right="-90"/>
        <w:jc w:val="both"/>
        <w:rPr>
          <w:sz w:val="20"/>
        </w:rPr>
      </w:pPr>
    </w:p>
    <w:p w:rsidR="006425F8" w:rsidRPr="00381877" w:rsidRDefault="0084614C" w:rsidP="00D34AF1">
      <w:pPr>
        <w:ind w:right="-90"/>
        <w:jc w:val="both"/>
      </w:pPr>
      <w:r w:rsidRPr="0084614C">
        <w:rPr>
          <w:rFonts w:cs="Arial"/>
        </w:rPr>
        <w:t>The hours of the proposed LRS will be restricted by the City of Nanaimo “</w:t>
      </w:r>
      <w:r w:rsidR="00D34AF1" w:rsidRPr="0084614C">
        <w:rPr>
          <w:rFonts w:cs="Arial"/>
        </w:rPr>
        <w:t>BUSINESS LICENCE BYLAW 1998 NO.</w:t>
      </w:r>
      <w:r w:rsidRPr="0084614C">
        <w:rPr>
          <w:rFonts w:cs="Arial"/>
        </w:rPr>
        <w:t xml:space="preserve"> 5351”</w:t>
      </w:r>
      <w:r w:rsidR="00D34AF1">
        <w:rPr>
          <w:rFonts w:cs="Arial"/>
        </w:rPr>
        <w:t>,</w:t>
      </w:r>
      <w:r w:rsidRPr="0084614C">
        <w:rPr>
          <w:rFonts w:cs="Arial"/>
        </w:rPr>
        <w:t xml:space="preserve"> which applies to the subject property and restricts the operating hours to between 6am and 11pm</w:t>
      </w:r>
      <w:r w:rsidR="00D34AF1">
        <w:rPr>
          <w:rFonts w:cs="Arial"/>
        </w:rPr>
        <w:t>,</w:t>
      </w:r>
      <w:r w:rsidRPr="0084614C">
        <w:rPr>
          <w:rFonts w:cs="Arial"/>
        </w:rPr>
        <w:t xml:space="preserve"> and Provincial </w:t>
      </w:r>
      <w:r w:rsidR="00D34AF1" w:rsidRPr="0084614C">
        <w:rPr>
          <w:rFonts w:cs="Arial"/>
        </w:rPr>
        <w:t xml:space="preserve">Liquor Policy </w:t>
      </w:r>
      <w:r w:rsidRPr="0084614C">
        <w:rPr>
          <w:rFonts w:cs="Arial"/>
        </w:rPr>
        <w:t>which further restricts the hours of operation from 9am to 11pm</w:t>
      </w:r>
      <w:r w:rsidR="00D34AF1">
        <w:rPr>
          <w:rFonts w:cs="Arial"/>
        </w:rPr>
        <w:t>,</w:t>
      </w:r>
      <w:r w:rsidRPr="0084614C">
        <w:rPr>
          <w:rFonts w:cs="Arial"/>
        </w:rPr>
        <w:t xml:space="preserve"> seven days a week</w:t>
      </w:r>
      <w:r>
        <w:rPr>
          <w:rFonts w:cs="Arial"/>
        </w:rPr>
        <w:t>.</w:t>
      </w:r>
      <w:r w:rsidR="00D34AF1">
        <w:rPr>
          <w:rFonts w:cs="Arial"/>
        </w:rPr>
        <w:t xml:space="preserve">  </w:t>
      </w:r>
      <w:r w:rsidR="00381877" w:rsidRPr="00381877">
        <w:t>The applicant</w:t>
      </w:r>
      <w:r w:rsidR="00F33337">
        <w:t>’</w:t>
      </w:r>
      <w:r w:rsidR="00381877" w:rsidRPr="00381877">
        <w:t xml:space="preserve">s letter of rationale is included </w:t>
      </w:r>
      <w:r w:rsidR="00D34AF1">
        <w:t>(</w:t>
      </w:r>
      <w:r w:rsidR="00381877" w:rsidRPr="00381877">
        <w:t>Attachment A</w:t>
      </w:r>
      <w:r w:rsidR="00D34AF1">
        <w:t>)</w:t>
      </w:r>
      <w:r w:rsidR="00381877" w:rsidRPr="00381877">
        <w:t>.</w:t>
      </w:r>
    </w:p>
    <w:p w:rsidR="00381877" w:rsidRPr="00D33287" w:rsidRDefault="00381877" w:rsidP="006425F8">
      <w:pPr>
        <w:jc w:val="both"/>
        <w:rPr>
          <w:b/>
          <w:i/>
          <w:sz w:val="20"/>
        </w:rPr>
      </w:pPr>
    </w:p>
    <w:p w:rsidR="006425F8" w:rsidRPr="003B2401" w:rsidRDefault="006425F8" w:rsidP="006425F8">
      <w:pPr>
        <w:jc w:val="both"/>
        <w:rPr>
          <w:b/>
          <w:i/>
        </w:rPr>
      </w:pPr>
      <w:r>
        <w:rPr>
          <w:b/>
          <w:i/>
        </w:rPr>
        <w:t>Licensed Retail Store Criteria</w:t>
      </w:r>
    </w:p>
    <w:p w:rsidR="006425F8" w:rsidRDefault="006425F8" w:rsidP="006425F8">
      <w:pPr>
        <w:jc w:val="both"/>
        <w:rPr>
          <w:color w:val="000000"/>
        </w:rPr>
      </w:pPr>
      <w:r>
        <w:rPr>
          <w:color w:val="000000"/>
        </w:rPr>
        <w:t>Following a decade long provincial moratorium on the addition of new liquor stores, the province allowed new applications for a brief period of time between 2002-AUG-12 and 2002-NOV-29.  Within that timeframe, 17 applications were made to the province for new liquor stores within Nanaimo.  Of the 17 applications, six had zoning in place.  The remaining 11 required rezoning.</w:t>
      </w:r>
    </w:p>
    <w:p w:rsidR="006425F8" w:rsidRPr="00D33287" w:rsidRDefault="006425F8" w:rsidP="006425F8">
      <w:pPr>
        <w:jc w:val="both"/>
        <w:rPr>
          <w:color w:val="000000"/>
          <w:sz w:val="20"/>
        </w:rPr>
      </w:pPr>
    </w:p>
    <w:p w:rsidR="0084614C" w:rsidRPr="00D76145" w:rsidRDefault="006425F8" w:rsidP="00D76145">
      <w:pPr>
        <w:jc w:val="both"/>
        <w:rPr>
          <w:color w:val="000000"/>
        </w:rPr>
      </w:pPr>
      <w:r>
        <w:rPr>
          <w:color w:val="000000"/>
        </w:rPr>
        <w:t>Council, at its regular meeting of 2003-AUG-18, adopted rezoning criteria for Licensed Retail Stores (LRS’s) and subsequently directed Staff to receive and process rezoning applications.  The following chart attempts to summarize the criteria as they are applied to this application.</w:t>
      </w:r>
    </w:p>
    <w:p w:rsidR="00AF68FF" w:rsidRDefault="00AF68FF" w:rsidP="0014359E">
      <w:pPr>
        <w:ind w:right="-421"/>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5400"/>
        <w:gridCol w:w="1530"/>
      </w:tblGrid>
      <w:tr w:rsidR="006425F8" w:rsidRPr="00763BCF" w:rsidTr="00B841E4">
        <w:trPr>
          <w:tblHeader/>
        </w:trPr>
        <w:tc>
          <w:tcPr>
            <w:tcW w:w="2610" w:type="dxa"/>
            <w:shd w:val="clear" w:color="auto" w:fill="BFBFBF"/>
          </w:tcPr>
          <w:p w:rsidR="006425F8" w:rsidRPr="00763BCF" w:rsidRDefault="006425F8" w:rsidP="002B048A">
            <w:pPr>
              <w:spacing w:before="60" w:after="60"/>
              <w:jc w:val="center"/>
              <w:rPr>
                <w:b/>
                <w:i/>
                <w:color w:val="000000"/>
                <w:sz w:val="20"/>
              </w:rPr>
            </w:pPr>
            <w:r w:rsidRPr="00763BCF">
              <w:rPr>
                <w:b/>
                <w:i/>
                <w:color w:val="000000"/>
                <w:sz w:val="20"/>
              </w:rPr>
              <w:t>CRITERIA</w:t>
            </w:r>
          </w:p>
        </w:tc>
        <w:tc>
          <w:tcPr>
            <w:tcW w:w="5400" w:type="dxa"/>
            <w:shd w:val="clear" w:color="auto" w:fill="BFBFBF"/>
          </w:tcPr>
          <w:p w:rsidR="006425F8" w:rsidRPr="00763BCF" w:rsidRDefault="006425F8" w:rsidP="002B048A">
            <w:pPr>
              <w:spacing w:before="60" w:after="60"/>
              <w:jc w:val="center"/>
              <w:rPr>
                <w:b/>
                <w:i/>
                <w:color w:val="000000"/>
                <w:sz w:val="20"/>
              </w:rPr>
            </w:pPr>
            <w:r w:rsidRPr="00763BCF">
              <w:rPr>
                <w:b/>
                <w:i/>
                <w:color w:val="000000"/>
                <w:sz w:val="20"/>
              </w:rPr>
              <w:t>RESPONSE</w:t>
            </w:r>
          </w:p>
        </w:tc>
        <w:tc>
          <w:tcPr>
            <w:tcW w:w="1530" w:type="dxa"/>
            <w:shd w:val="clear" w:color="auto" w:fill="BFBFBF"/>
          </w:tcPr>
          <w:p w:rsidR="006425F8" w:rsidRPr="00763BCF" w:rsidRDefault="006425F8" w:rsidP="002B048A">
            <w:pPr>
              <w:spacing w:before="60"/>
              <w:jc w:val="center"/>
              <w:rPr>
                <w:b/>
                <w:i/>
                <w:color w:val="000000"/>
                <w:sz w:val="20"/>
              </w:rPr>
            </w:pPr>
            <w:r w:rsidRPr="00763BCF">
              <w:rPr>
                <w:b/>
                <w:i/>
                <w:color w:val="000000"/>
                <w:sz w:val="20"/>
              </w:rPr>
              <w:t>MEETS</w:t>
            </w:r>
          </w:p>
          <w:p w:rsidR="006425F8" w:rsidRPr="00763BCF" w:rsidRDefault="006425F8" w:rsidP="002B048A">
            <w:pPr>
              <w:spacing w:after="60"/>
              <w:jc w:val="center"/>
              <w:rPr>
                <w:b/>
                <w:i/>
                <w:color w:val="000000"/>
                <w:sz w:val="20"/>
              </w:rPr>
            </w:pPr>
            <w:r w:rsidRPr="00763BCF">
              <w:rPr>
                <w:b/>
                <w:i/>
                <w:color w:val="000000"/>
                <w:sz w:val="20"/>
              </w:rPr>
              <w:t>CRITERIA</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LRS should be on or in close proximity to a major road.</w:t>
            </w:r>
          </w:p>
        </w:tc>
        <w:tc>
          <w:tcPr>
            <w:tcW w:w="5400" w:type="dxa"/>
          </w:tcPr>
          <w:p w:rsidR="006425F8" w:rsidRPr="00763BCF" w:rsidRDefault="006425F8" w:rsidP="007D1F24">
            <w:pPr>
              <w:spacing w:before="40"/>
              <w:rPr>
                <w:color w:val="000000"/>
                <w:sz w:val="20"/>
              </w:rPr>
            </w:pPr>
            <w:r w:rsidRPr="00763BCF">
              <w:rPr>
                <w:color w:val="000000"/>
                <w:sz w:val="20"/>
              </w:rPr>
              <w:t>The proposed liquor store will be located on</w:t>
            </w:r>
            <w:r w:rsidR="002B048A">
              <w:rPr>
                <w:color w:val="000000"/>
                <w:sz w:val="20"/>
              </w:rPr>
              <w:t xml:space="preserve"> the corner of</w:t>
            </w:r>
            <w:r w:rsidRPr="00763BCF">
              <w:rPr>
                <w:color w:val="000000"/>
                <w:sz w:val="20"/>
              </w:rPr>
              <w:t xml:space="preserve"> D</w:t>
            </w:r>
            <w:r w:rsidR="002B048A">
              <w:rPr>
                <w:color w:val="000000"/>
                <w:sz w:val="20"/>
              </w:rPr>
              <w:t xml:space="preserve">eparture </w:t>
            </w:r>
            <w:r w:rsidR="007D1F24">
              <w:rPr>
                <w:color w:val="000000"/>
                <w:sz w:val="20"/>
              </w:rPr>
              <w:t>B</w:t>
            </w:r>
            <w:r w:rsidR="002B048A">
              <w:rPr>
                <w:color w:val="000000"/>
                <w:sz w:val="20"/>
              </w:rPr>
              <w:t>ay Road and Bay Street.  Departure Bay Road is</w:t>
            </w:r>
            <w:r w:rsidRPr="00763BCF">
              <w:rPr>
                <w:color w:val="000000"/>
                <w:sz w:val="20"/>
              </w:rPr>
              <w:t xml:space="preserve"> a </w:t>
            </w:r>
            <w:r w:rsidR="002B048A">
              <w:rPr>
                <w:color w:val="000000"/>
                <w:sz w:val="20"/>
              </w:rPr>
              <w:t>Majo</w:t>
            </w:r>
            <w:r w:rsidRPr="00763BCF">
              <w:rPr>
                <w:color w:val="000000"/>
                <w:sz w:val="20"/>
              </w:rPr>
              <w:t>r Collector Road</w:t>
            </w:r>
            <w:r w:rsidR="002B048A">
              <w:rPr>
                <w:color w:val="000000"/>
                <w:sz w:val="20"/>
              </w:rPr>
              <w:t xml:space="preserve">.  </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LRS shall not be within 150</w:t>
            </w:r>
            <w:r>
              <w:rPr>
                <w:color w:val="000000"/>
                <w:sz w:val="20"/>
              </w:rPr>
              <w:t>m</w:t>
            </w:r>
            <w:r w:rsidRPr="00763BCF">
              <w:rPr>
                <w:color w:val="000000"/>
                <w:sz w:val="20"/>
              </w:rPr>
              <w:t xml:space="preserve"> of a school.</w:t>
            </w:r>
          </w:p>
        </w:tc>
        <w:tc>
          <w:tcPr>
            <w:tcW w:w="5400" w:type="dxa"/>
          </w:tcPr>
          <w:p w:rsidR="006425F8" w:rsidRPr="00763BCF" w:rsidRDefault="006425F8" w:rsidP="00663A2A">
            <w:pPr>
              <w:spacing w:before="40"/>
              <w:rPr>
                <w:color w:val="000000"/>
                <w:sz w:val="20"/>
              </w:rPr>
            </w:pPr>
            <w:r w:rsidRPr="00763BCF">
              <w:rPr>
                <w:color w:val="000000"/>
                <w:sz w:val="20"/>
              </w:rPr>
              <w:t xml:space="preserve">The nearest school to the proposed site is </w:t>
            </w:r>
            <w:r w:rsidR="002B048A">
              <w:rPr>
                <w:color w:val="000000"/>
                <w:sz w:val="20"/>
              </w:rPr>
              <w:t xml:space="preserve">Departure Bay </w:t>
            </w:r>
            <w:r w:rsidRPr="00763BCF">
              <w:rPr>
                <w:color w:val="000000"/>
                <w:sz w:val="20"/>
              </w:rPr>
              <w:t xml:space="preserve">Elementary School, which is located </w:t>
            </w:r>
            <w:r w:rsidR="002B048A">
              <w:rPr>
                <w:color w:val="000000"/>
                <w:sz w:val="20"/>
              </w:rPr>
              <w:t>220</w:t>
            </w:r>
            <w:r w:rsidRPr="00763BCF">
              <w:rPr>
                <w:color w:val="000000"/>
                <w:sz w:val="20"/>
              </w:rPr>
              <w:t>m from the site</w:t>
            </w:r>
            <w:r w:rsidR="006E1A06">
              <w:rPr>
                <w:color w:val="000000"/>
                <w:sz w:val="20"/>
              </w:rPr>
              <w:t xml:space="preserve"> as measured from property line to property line </w:t>
            </w:r>
            <w:r w:rsidR="00663A2A">
              <w:rPr>
                <w:color w:val="000000"/>
                <w:sz w:val="20"/>
              </w:rPr>
              <w:t xml:space="preserve">or </w:t>
            </w:r>
            <w:r w:rsidR="006E1A06">
              <w:rPr>
                <w:color w:val="000000"/>
                <w:sz w:val="20"/>
              </w:rPr>
              <w:t>300m from door to door</w:t>
            </w:r>
            <w:r w:rsidRPr="00763BCF">
              <w:rPr>
                <w:color w:val="000000"/>
                <w:sz w:val="20"/>
              </w:rPr>
              <w:t>, and is beyond the 150m criteria.</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LRS shall not be located adjacent to a nightclub.</w:t>
            </w:r>
          </w:p>
        </w:tc>
        <w:tc>
          <w:tcPr>
            <w:tcW w:w="5400" w:type="dxa"/>
          </w:tcPr>
          <w:p w:rsidR="006425F8" w:rsidRPr="00763BCF" w:rsidRDefault="006425F8" w:rsidP="002B048A">
            <w:pPr>
              <w:spacing w:before="40"/>
              <w:rPr>
                <w:color w:val="000000"/>
                <w:sz w:val="20"/>
              </w:rPr>
            </w:pPr>
            <w:r w:rsidRPr="00763BCF">
              <w:rPr>
                <w:color w:val="000000"/>
                <w:sz w:val="20"/>
              </w:rPr>
              <w:t>There is currently no nightclub within the vicinity of the proposed LRS.</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bl>
    <w:p w:rsidR="00D33287" w:rsidRDefault="00D33287">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5400"/>
        <w:gridCol w:w="1530"/>
      </w:tblGrid>
      <w:tr w:rsidR="00D33287" w:rsidRPr="00763BCF" w:rsidTr="00D71DB1">
        <w:trPr>
          <w:tblHeader/>
        </w:trPr>
        <w:tc>
          <w:tcPr>
            <w:tcW w:w="2610" w:type="dxa"/>
            <w:shd w:val="clear" w:color="auto" w:fill="BFBFBF"/>
          </w:tcPr>
          <w:p w:rsidR="00D33287" w:rsidRPr="00763BCF" w:rsidRDefault="00D33287" w:rsidP="00D71DB1">
            <w:pPr>
              <w:spacing w:before="60" w:after="60"/>
              <w:jc w:val="center"/>
              <w:rPr>
                <w:b/>
                <w:i/>
                <w:color w:val="000000"/>
                <w:sz w:val="20"/>
              </w:rPr>
            </w:pPr>
            <w:r w:rsidRPr="00763BCF">
              <w:rPr>
                <w:b/>
                <w:i/>
                <w:color w:val="000000"/>
                <w:sz w:val="20"/>
              </w:rPr>
              <w:t>CRITERIA</w:t>
            </w:r>
          </w:p>
        </w:tc>
        <w:tc>
          <w:tcPr>
            <w:tcW w:w="5400" w:type="dxa"/>
            <w:shd w:val="clear" w:color="auto" w:fill="BFBFBF"/>
          </w:tcPr>
          <w:p w:rsidR="00D33287" w:rsidRPr="00763BCF" w:rsidRDefault="00D33287" w:rsidP="00D71DB1">
            <w:pPr>
              <w:spacing w:before="60" w:after="60"/>
              <w:jc w:val="center"/>
              <w:rPr>
                <w:b/>
                <w:i/>
                <w:color w:val="000000"/>
                <w:sz w:val="20"/>
              </w:rPr>
            </w:pPr>
            <w:r w:rsidRPr="00763BCF">
              <w:rPr>
                <w:b/>
                <w:i/>
                <w:color w:val="000000"/>
                <w:sz w:val="20"/>
              </w:rPr>
              <w:t>RESPONSE</w:t>
            </w:r>
          </w:p>
        </w:tc>
        <w:tc>
          <w:tcPr>
            <w:tcW w:w="1530" w:type="dxa"/>
            <w:shd w:val="clear" w:color="auto" w:fill="BFBFBF"/>
          </w:tcPr>
          <w:p w:rsidR="00D33287" w:rsidRPr="00763BCF" w:rsidRDefault="00D33287" w:rsidP="00D71DB1">
            <w:pPr>
              <w:spacing w:before="60"/>
              <w:jc w:val="center"/>
              <w:rPr>
                <w:b/>
                <w:i/>
                <w:color w:val="000000"/>
                <w:sz w:val="20"/>
              </w:rPr>
            </w:pPr>
            <w:r w:rsidRPr="00763BCF">
              <w:rPr>
                <w:b/>
                <w:i/>
                <w:color w:val="000000"/>
                <w:sz w:val="20"/>
              </w:rPr>
              <w:t>MEETS</w:t>
            </w:r>
          </w:p>
          <w:p w:rsidR="00D33287" w:rsidRPr="00763BCF" w:rsidRDefault="00D33287" w:rsidP="00D71DB1">
            <w:pPr>
              <w:spacing w:after="60"/>
              <w:jc w:val="center"/>
              <w:rPr>
                <w:b/>
                <w:i/>
                <w:color w:val="000000"/>
                <w:sz w:val="20"/>
              </w:rPr>
            </w:pPr>
            <w:r w:rsidRPr="00763BCF">
              <w:rPr>
                <w:b/>
                <w:i/>
                <w:color w:val="000000"/>
                <w:sz w:val="20"/>
              </w:rPr>
              <w:t>CRITERIA</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size of the LRS shall be consistent with the nature of the immediate area, and the size of the existing retail stores.</w:t>
            </w:r>
          </w:p>
        </w:tc>
        <w:tc>
          <w:tcPr>
            <w:tcW w:w="5400" w:type="dxa"/>
          </w:tcPr>
          <w:p w:rsidR="006425F8" w:rsidRPr="00763BCF" w:rsidRDefault="006425F8" w:rsidP="00B841E4">
            <w:pPr>
              <w:spacing w:before="40"/>
              <w:rPr>
                <w:color w:val="000000"/>
                <w:sz w:val="20"/>
              </w:rPr>
            </w:pPr>
            <w:r w:rsidRPr="00763BCF">
              <w:rPr>
                <w:color w:val="000000"/>
                <w:sz w:val="20"/>
              </w:rPr>
              <w:t xml:space="preserve">The applicant is proposing to construct an approximately </w:t>
            </w:r>
            <w:r w:rsidR="006E1A06">
              <w:rPr>
                <w:color w:val="000000"/>
                <w:sz w:val="20"/>
              </w:rPr>
              <w:t>238</w:t>
            </w:r>
            <w:r w:rsidRPr="00763BCF">
              <w:rPr>
                <w:color w:val="000000"/>
                <w:sz w:val="20"/>
              </w:rPr>
              <w:t>m</w:t>
            </w:r>
            <w:r w:rsidRPr="00763BCF">
              <w:rPr>
                <w:color w:val="000000"/>
                <w:sz w:val="20"/>
                <w:vertAlign w:val="superscript"/>
              </w:rPr>
              <w:t>2</w:t>
            </w:r>
            <w:r>
              <w:rPr>
                <w:color w:val="000000"/>
                <w:sz w:val="20"/>
                <w:vertAlign w:val="superscript"/>
              </w:rPr>
              <w:t xml:space="preserve"> </w:t>
            </w:r>
            <w:r w:rsidRPr="00763BCF">
              <w:rPr>
                <w:color w:val="000000"/>
                <w:sz w:val="20"/>
              </w:rPr>
              <w:t xml:space="preserve">LRS </w:t>
            </w:r>
            <w:r w:rsidR="006E1A06">
              <w:rPr>
                <w:color w:val="000000"/>
                <w:sz w:val="20"/>
              </w:rPr>
              <w:t>within a portion of the existing retail building.  The remaining 290m</w:t>
            </w:r>
            <w:r w:rsidR="006E1A06" w:rsidRPr="00B841E4">
              <w:rPr>
                <w:color w:val="000000"/>
                <w:sz w:val="20"/>
                <w:vertAlign w:val="superscript"/>
              </w:rPr>
              <w:t>2</w:t>
            </w:r>
            <w:r w:rsidR="006E1A06">
              <w:rPr>
                <w:color w:val="000000"/>
                <w:sz w:val="20"/>
              </w:rPr>
              <w:t xml:space="preserve"> within the building </w:t>
            </w:r>
            <w:r w:rsidR="003113B2">
              <w:rPr>
                <w:color w:val="000000"/>
                <w:sz w:val="20"/>
              </w:rPr>
              <w:t xml:space="preserve">will continue to be </w:t>
            </w:r>
            <w:r w:rsidR="00F73161">
              <w:rPr>
                <w:color w:val="000000"/>
                <w:sz w:val="20"/>
              </w:rPr>
              <w:t>occupied by 7</w:t>
            </w:r>
            <w:r w:rsidR="0084614C">
              <w:rPr>
                <w:color w:val="000000"/>
                <w:sz w:val="20"/>
              </w:rPr>
              <w:t>-Eleven</w:t>
            </w:r>
            <w:r w:rsidR="006E1A06">
              <w:rPr>
                <w:color w:val="000000"/>
                <w:sz w:val="20"/>
              </w:rPr>
              <w:t xml:space="preserve">.  </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design of the LRS should enhance or improve the aesthetics of the surrounding area, not detract from them.</w:t>
            </w:r>
          </w:p>
        </w:tc>
        <w:tc>
          <w:tcPr>
            <w:tcW w:w="5400" w:type="dxa"/>
          </w:tcPr>
          <w:p w:rsidR="00F73161" w:rsidRDefault="003113B2" w:rsidP="002B048A">
            <w:pPr>
              <w:spacing w:before="40"/>
              <w:rPr>
                <w:color w:val="000000"/>
                <w:sz w:val="20"/>
              </w:rPr>
            </w:pPr>
            <w:r>
              <w:rPr>
                <w:color w:val="000000"/>
                <w:sz w:val="20"/>
              </w:rPr>
              <w:t>The proposed LRS is to be located within</w:t>
            </w:r>
            <w:r w:rsidR="00F73161">
              <w:rPr>
                <w:color w:val="000000"/>
                <w:sz w:val="20"/>
              </w:rPr>
              <w:t xml:space="preserve"> the unused portion of the </w:t>
            </w:r>
            <w:r w:rsidR="00DE0A84">
              <w:rPr>
                <w:color w:val="000000"/>
                <w:sz w:val="20"/>
              </w:rPr>
              <w:t>existing 7</w:t>
            </w:r>
            <w:r w:rsidR="0084614C">
              <w:rPr>
                <w:color w:val="000000"/>
                <w:sz w:val="20"/>
              </w:rPr>
              <w:t xml:space="preserve">-Eleven </w:t>
            </w:r>
            <w:r>
              <w:rPr>
                <w:color w:val="000000"/>
                <w:sz w:val="20"/>
              </w:rPr>
              <w:t>building</w:t>
            </w:r>
            <w:r w:rsidR="00F73161">
              <w:rPr>
                <w:color w:val="000000"/>
                <w:sz w:val="20"/>
              </w:rPr>
              <w:t xml:space="preserve">.  </w:t>
            </w:r>
            <w:r w:rsidR="006425F8" w:rsidRPr="00763BCF">
              <w:rPr>
                <w:color w:val="000000"/>
                <w:sz w:val="20"/>
              </w:rPr>
              <w:t>In accordance with Liquor Control and Licensing Branch (LCLB) policy, the ar</w:t>
            </w:r>
            <w:r w:rsidR="00F73161">
              <w:rPr>
                <w:color w:val="000000"/>
                <w:sz w:val="20"/>
              </w:rPr>
              <w:t>chitecture of the proposed LRS mu</w:t>
            </w:r>
            <w:r w:rsidR="006425F8" w:rsidRPr="00763BCF">
              <w:rPr>
                <w:color w:val="000000"/>
                <w:sz w:val="20"/>
              </w:rPr>
              <w:t>s</w:t>
            </w:r>
            <w:r w:rsidR="00F73161">
              <w:rPr>
                <w:color w:val="000000"/>
                <w:sz w:val="20"/>
              </w:rPr>
              <w:t>t be</w:t>
            </w:r>
            <w:r w:rsidR="006425F8" w:rsidRPr="00763BCF">
              <w:rPr>
                <w:color w:val="000000"/>
                <w:sz w:val="20"/>
              </w:rPr>
              <w:t xml:space="preserve"> distinct fr</w:t>
            </w:r>
            <w:r w:rsidR="00F73161">
              <w:rPr>
                <w:color w:val="000000"/>
                <w:sz w:val="20"/>
              </w:rPr>
              <w:t xml:space="preserve">om the surrounding retail units.  </w:t>
            </w:r>
          </w:p>
          <w:p w:rsidR="00F73161" w:rsidRPr="00D33287" w:rsidRDefault="00F73161" w:rsidP="002B048A">
            <w:pPr>
              <w:spacing w:before="40"/>
              <w:rPr>
                <w:color w:val="000000"/>
                <w:sz w:val="12"/>
                <w:szCs w:val="12"/>
              </w:rPr>
            </w:pPr>
          </w:p>
          <w:p w:rsidR="006425F8" w:rsidRPr="00763BCF" w:rsidRDefault="00DE0A84" w:rsidP="007D1F24">
            <w:pPr>
              <w:spacing w:before="40"/>
              <w:rPr>
                <w:color w:val="000000"/>
                <w:sz w:val="20"/>
              </w:rPr>
            </w:pPr>
            <w:r>
              <w:rPr>
                <w:color w:val="000000"/>
                <w:sz w:val="20"/>
              </w:rPr>
              <w:t>T</w:t>
            </w:r>
            <w:r w:rsidR="00F73161">
              <w:rPr>
                <w:color w:val="000000"/>
                <w:sz w:val="20"/>
              </w:rPr>
              <w:t>he proposed LRS area has been vacant si</w:t>
            </w:r>
            <w:r>
              <w:rPr>
                <w:color w:val="000000"/>
                <w:sz w:val="20"/>
              </w:rPr>
              <w:t>nce 2000 when 7</w:t>
            </w:r>
            <w:r w:rsidR="0084614C">
              <w:rPr>
                <w:color w:val="000000"/>
                <w:sz w:val="20"/>
              </w:rPr>
              <w:t xml:space="preserve">-Eleven </w:t>
            </w:r>
            <w:r>
              <w:rPr>
                <w:color w:val="000000"/>
                <w:sz w:val="20"/>
              </w:rPr>
              <w:t xml:space="preserve">purchased the property.  The facade currently includes </w:t>
            </w:r>
            <w:r w:rsidR="00302FF9">
              <w:rPr>
                <w:color w:val="000000"/>
                <w:sz w:val="20"/>
              </w:rPr>
              <w:t>a faded mural and does not include any windows or other openings.</w:t>
            </w:r>
            <w:r>
              <w:rPr>
                <w:color w:val="000000"/>
                <w:sz w:val="20"/>
              </w:rPr>
              <w:t xml:space="preserve">  It is Staff’s opinion that a second tenancy within the building will </w:t>
            </w:r>
            <w:r w:rsidR="00302FF9">
              <w:rPr>
                <w:color w:val="000000"/>
                <w:sz w:val="20"/>
              </w:rPr>
              <w:t>improve the aesthe</w:t>
            </w:r>
            <w:r w:rsidR="007D1F24">
              <w:rPr>
                <w:color w:val="000000"/>
                <w:sz w:val="20"/>
              </w:rPr>
              <w:t>tics</w:t>
            </w:r>
            <w:r w:rsidR="00302FF9">
              <w:rPr>
                <w:color w:val="000000"/>
                <w:sz w:val="20"/>
              </w:rPr>
              <w:t xml:space="preserve"> of the building.</w:t>
            </w:r>
            <w:r w:rsidR="00663A2A">
              <w:rPr>
                <w:color w:val="000000"/>
                <w:sz w:val="20"/>
              </w:rPr>
              <w:t xml:space="preserve">  An elevation drawing of the proposed facade improvements </w:t>
            </w:r>
            <w:r w:rsidR="00B841E4">
              <w:rPr>
                <w:color w:val="000000"/>
                <w:sz w:val="20"/>
              </w:rPr>
              <w:t>is</w:t>
            </w:r>
            <w:r w:rsidR="00663A2A">
              <w:rPr>
                <w:color w:val="000000"/>
                <w:sz w:val="20"/>
              </w:rPr>
              <w:t xml:space="preserve"> included (Attachment </w:t>
            </w:r>
            <w:r w:rsidR="00381877">
              <w:rPr>
                <w:color w:val="000000"/>
                <w:sz w:val="20"/>
              </w:rPr>
              <w:t>B</w:t>
            </w:r>
            <w:r w:rsidR="00663A2A">
              <w:rPr>
                <w:color w:val="000000"/>
                <w:sz w:val="20"/>
              </w:rPr>
              <w:t>).</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Consideration shall be given to a requirement for on-site parking and loading for each LRS within the downtown core, and mandatory outside the downtown core.</w:t>
            </w:r>
          </w:p>
          <w:p w:rsidR="006425F8" w:rsidRPr="00763BCF" w:rsidRDefault="006425F8" w:rsidP="006425F8">
            <w:pPr>
              <w:numPr>
                <w:ilvl w:val="0"/>
                <w:numId w:val="6"/>
              </w:numPr>
              <w:tabs>
                <w:tab w:val="left" w:pos="180"/>
              </w:tabs>
              <w:ind w:left="180" w:hanging="180"/>
              <w:rPr>
                <w:color w:val="000000"/>
                <w:sz w:val="20"/>
              </w:rPr>
            </w:pPr>
            <w:r w:rsidRPr="00763BCF">
              <w:rPr>
                <w:color w:val="000000"/>
                <w:sz w:val="20"/>
              </w:rPr>
              <w:t>1 space / 20m</w:t>
            </w:r>
            <w:r w:rsidRPr="00763BCF">
              <w:rPr>
                <w:color w:val="000000"/>
                <w:sz w:val="20"/>
                <w:vertAlign w:val="superscript"/>
              </w:rPr>
              <w:t>2</w:t>
            </w:r>
            <w:r w:rsidRPr="00763BCF">
              <w:rPr>
                <w:color w:val="000000"/>
                <w:sz w:val="20"/>
              </w:rPr>
              <w:t xml:space="preserve"> of Gross Floor Area must be provided.</w:t>
            </w:r>
          </w:p>
        </w:tc>
        <w:tc>
          <w:tcPr>
            <w:tcW w:w="5400" w:type="dxa"/>
          </w:tcPr>
          <w:p w:rsidR="008978AB" w:rsidRDefault="006425F8" w:rsidP="002B048A">
            <w:pPr>
              <w:spacing w:before="40"/>
              <w:rPr>
                <w:color w:val="000000"/>
                <w:sz w:val="20"/>
              </w:rPr>
            </w:pPr>
            <w:r w:rsidRPr="00763BCF">
              <w:rPr>
                <w:color w:val="000000"/>
                <w:sz w:val="20"/>
              </w:rPr>
              <w:t xml:space="preserve">The City’s “DEVELOPMENT PARKING REGULATIONS BYLAW 2005 NO. 7013” requires </w:t>
            </w:r>
            <w:r w:rsidR="00302FF9">
              <w:rPr>
                <w:color w:val="000000"/>
                <w:sz w:val="20"/>
              </w:rPr>
              <w:t>11</w:t>
            </w:r>
            <w:r w:rsidR="008978AB">
              <w:rPr>
                <w:color w:val="000000"/>
                <w:sz w:val="20"/>
              </w:rPr>
              <w:t xml:space="preserve"> parking spaces for the proposed</w:t>
            </w:r>
            <w:r w:rsidRPr="00763BCF">
              <w:rPr>
                <w:color w:val="000000"/>
                <w:sz w:val="20"/>
              </w:rPr>
              <w:t xml:space="preserve"> liquor store</w:t>
            </w:r>
            <w:r w:rsidR="008978AB">
              <w:rPr>
                <w:color w:val="000000"/>
                <w:sz w:val="20"/>
              </w:rPr>
              <w:t xml:space="preserve"> and 14 for the existing convenience store; as such a total of 24 parking spaces are required.  There are currently 25 marked parking spaces on site. </w:t>
            </w:r>
          </w:p>
          <w:p w:rsidR="006425F8" w:rsidRPr="00763BCF" w:rsidRDefault="006425F8" w:rsidP="002B048A">
            <w:pPr>
              <w:spacing w:before="40"/>
              <w:rPr>
                <w:color w:val="000000"/>
                <w:sz w:val="20"/>
              </w:rPr>
            </w:pP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B841E4" w:rsidRPr="00763BCF" w:rsidRDefault="006425F8" w:rsidP="00D33287">
            <w:pPr>
              <w:spacing w:before="40"/>
              <w:rPr>
                <w:color w:val="000000"/>
                <w:sz w:val="20"/>
              </w:rPr>
            </w:pPr>
            <w:r w:rsidRPr="00763BCF">
              <w:rPr>
                <w:color w:val="000000"/>
                <w:sz w:val="20"/>
              </w:rPr>
              <w:t>The applicant must outline his awareness of potential negative impacts and include proposed limits on the hours of operation, the product range, target mar</w:t>
            </w:r>
            <w:r>
              <w:rPr>
                <w:color w:val="000000"/>
                <w:sz w:val="20"/>
              </w:rPr>
              <w:t>k</w:t>
            </w:r>
            <w:r w:rsidRPr="00763BCF">
              <w:rPr>
                <w:color w:val="000000"/>
                <w:sz w:val="20"/>
              </w:rPr>
              <w:t>ets, property maintenance and beautification programs.</w:t>
            </w:r>
          </w:p>
        </w:tc>
        <w:tc>
          <w:tcPr>
            <w:tcW w:w="5400" w:type="dxa"/>
          </w:tcPr>
          <w:p w:rsidR="006425F8" w:rsidRPr="00763BCF" w:rsidRDefault="006425F8" w:rsidP="00381877">
            <w:pPr>
              <w:spacing w:before="40"/>
              <w:rPr>
                <w:color w:val="000000"/>
                <w:sz w:val="20"/>
              </w:rPr>
            </w:pPr>
            <w:r w:rsidRPr="00763BCF">
              <w:rPr>
                <w:color w:val="000000"/>
                <w:sz w:val="20"/>
              </w:rPr>
              <w:t xml:space="preserve">The applicant’s response is provided </w:t>
            </w:r>
            <w:r>
              <w:rPr>
                <w:color w:val="000000"/>
                <w:sz w:val="20"/>
              </w:rPr>
              <w:t>(</w:t>
            </w:r>
            <w:r w:rsidRPr="00436CB4">
              <w:rPr>
                <w:color w:val="000000"/>
                <w:sz w:val="20"/>
              </w:rPr>
              <w:t xml:space="preserve">Attachment </w:t>
            </w:r>
            <w:r w:rsidR="00381877">
              <w:rPr>
                <w:color w:val="000000"/>
                <w:sz w:val="20"/>
              </w:rPr>
              <w:t>C</w:t>
            </w:r>
            <w:r w:rsidRPr="00436CB4">
              <w:rPr>
                <w:color w:val="000000"/>
                <w:sz w:val="20"/>
              </w:rPr>
              <w:t>)</w:t>
            </w:r>
            <w:r w:rsidRPr="00763BCF">
              <w:rPr>
                <w:color w:val="000000"/>
                <w:sz w:val="20"/>
              </w:rPr>
              <w:t>.</w:t>
            </w:r>
          </w:p>
        </w:tc>
        <w:tc>
          <w:tcPr>
            <w:tcW w:w="1530" w:type="dxa"/>
          </w:tcPr>
          <w:p w:rsidR="006425F8" w:rsidRPr="00763BCF" w:rsidRDefault="006425F8" w:rsidP="002B048A">
            <w:pPr>
              <w:spacing w:before="40"/>
              <w:jc w:val="center"/>
              <w:rPr>
                <w:color w:val="000000"/>
                <w:sz w:val="20"/>
              </w:rPr>
            </w:pPr>
            <w:r w:rsidRPr="00763BCF">
              <w:rPr>
                <w:color w:val="000000"/>
                <w:sz w:val="20"/>
              </w:rPr>
              <w:t>For Council Consideration</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Consideration of impact of LRS when within close proximity of libraries, public recreation centres, community centres, parks, places of worship and other family oriented facilities.</w:t>
            </w:r>
          </w:p>
        </w:tc>
        <w:tc>
          <w:tcPr>
            <w:tcW w:w="5400" w:type="dxa"/>
          </w:tcPr>
          <w:p w:rsidR="006425F8" w:rsidRPr="00763BCF" w:rsidRDefault="00BB664C" w:rsidP="007D1F24">
            <w:pPr>
              <w:spacing w:before="40"/>
              <w:rPr>
                <w:color w:val="000000"/>
                <w:sz w:val="20"/>
              </w:rPr>
            </w:pPr>
            <w:r>
              <w:rPr>
                <w:color w:val="000000"/>
                <w:sz w:val="20"/>
              </w:rPr>
              <w:t xml:space="preserve">The subject property is immediately across the road from the Departure </w:t>
            </w:r>
            <w:r w:rsidR="00D33287">
              <w:rPr>
                <w:color w:val="000000"/>
                <w:sz w:val="20"/>
              </w:rPr>
              <w:t xml:space="preserve">Bay </w:t>
            </w:r>
            <w:r>
              <w:rPr>
                <w:color w:val="000000"/>
                <w:sz w:val="20"/>
              </w:rPr>
              <w:t>Beach and 260m from the Kin Hut community meeting space</w:t>
            </w:r>
            <w:r w:rsidR="00D33287">
              <w:rPr>
                <w:color w:val="000000"/>
                <w:sz w:val="20"/>
              </w:rPr>
              <w:t xml:space="preserve"> and playground</w:t>
            </w:r>
            <w:r>
              <w:rPr>
                <w:color w:val="000000"/>
                <w:sz w:val="20"/>
              </w:rPr>
              <w:t xml:space="preserve"> on the beach.  The property is also located adjacent to Departure Bay Centennial</w:t>
            </w:r>
            <w:r w:rsidR="00381877">
              <w:rPr>
                <w:color w:val="000000"/>
                <w:sz w:val="20"/>
              </w:rPr>
              <w:t xml:space="preserve"> Park</w:t>
            </w:r>
            <w:r w:rsidR="00B841E4">
              <w:rPr>
                <w:color w:val="000000"/>
                <w:sz w:val="20"/>
              </w:rPr>
              <w:t>,</w:t>
            </w:r>
            <w:r w:rsidR="007D1F24">
              <w:rPr>
                <w:color w:val="000000"/>
                <w:sz w:val="20"/>
              </w:rPr>
              <w:t xml:space="preserve"> which includes a children’s</w:t>
            </w:r>
            <w:r>
              <w:rPr>
                <w:color w:val="000000"/>
                <w:sz w:val="20"/>
              </w:rPr>
              <w:t xml:space="preserve"> </w:t>
            </w:r>
            <w:r w:rsidR="00B841E4">
              <w:rPr>
                <w:color w:val="000000"/>
                <w:sz w:val="20"/>
              </w:rPr>
              <w:t>water park</w:t>
            </w:r>
            <w:r>
              <w:rPr>
                <w:color w:val="000000"/>
                <w:sz w:val="20"/>
              </w:rPr>
              <w:t xml:space="preserve"> (75m from the property) and community centre (150m from the property). </w:t>
            </w:r>
          </w:p>
        </w:tc>
        <w:tc>
          <w:tcPr>
            <w:tcW w:w="1530" w:type="dxa"/>
          </w:tcPr>
          <w:p w:rsidR="006425F8" w:rsidRPr="00763BCF" w:rsidRDefault="006425F8" w:rsidP="002B048A">
            <w:pPr>
              <w:spacing w:before="40"/>
              <w:jc w:val="center"/>
              <w:rPr>
                <w:color w:val="000000"/>
                <w:sz w:val="20"/>
              </w:rPr>
            </w:pPr>
            <w:r w:rsidRPr="00763BCF">
              <w:rPr>
                <w:color w:val="000000"/>
                <w:sz w:val="20"/>
              </w:rPr>
              <w:t>For Council Consideration</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projected traffic volumes and on</w:t>
            </w:r>
            <w:r>
              <w:rPr>
                <w:color w:val="000000"/>
                <w:sz w:val="20"/>
              </w:rPr>
              <w:t>-</w:t>
            </w:r>
            <w:r w:rsidRPr="00763BCF">
              <w:rPr>
                <w:color w:val="000000"/>
                <w:sz w:val="20"/>
              </w:rPr>
              <w:t>street parking associated with the LRS should not negatively impact nearby residential and commercial areas.</w:t>
            </w:r>
          </w:p>
        </w:tc>
        <w:tc>
          <w:tcPr>
            <w:tcW w:w="5400" w:type="dxa"/>
          </w:tcPr>
          <w:p w:rsidR="006425F8" w:rsidRPr="00763BCF" w:rsidRDefault="006425F8" w:rsidP="00BB664C">
            <w:pPr>
              <w:spacing w:before="40"/>
              <w:rPr>
                <w:color w:val="000000"/>
                <w:sz w:val="20"/>
              </w:rPr>
            </w:pPr>
            <w:r w:rsidRPr="00763BCF">
              <w:rPr>
                <w:color w:val="000000"/>
                <w:sz w:val="20"/>
              </w:rPr>
              <w:t xml:space="preserve">The proposed LRS is to be located </w:t>
            </w:r>
            <w:r w:rsidR="00BB664C">
              <w:rPr>
                <w:color w:val="000000"/>
                <w:sz w:val="20"/>
              </w:rPr>
              <w:t xml:space="preserve">on and accessed from Departure Bay Road, a major road with an already higher than average expected traffic volume.  </w:t>
            </w:r>
            <w:r w:rsidR="00B26BF2">
              <w:rPr>
                <w:color w:val="000000"/>
                <w:sz w:val="20"/>
              </w:rPr>
              <w:t xml:space="preserve">Commercial uses are supported at this location within the Neighbourhood Plan.  Given the subject property’s location within the Departure Bay Village centre, within walking distance from a number of residences within the neighbourhood, it is anticipated some of the LRS’s customers will choose to walk to the store.   </w:t>
            </w:r>
          </w:p>
        </w:tc>
        <w:tc>
          <w:tcPr>
            <w:tcW w:w="1530" w:type="dxa"/>
          </w:tcPr>
          <w:p w:rsidR="006425F8" w:rsidRPr="00763BCF" w:rsidRDefault="00B26BF2" w:rsidP="002B048A">
            <w:pPr>
              <w:spacing w:before="40"/>
              <w:jc w:val="center"/>
              <w:rPr>
                <w:color w:val="000000"/>
                <w:sz w:val="20"/>
              </w:rPr>
            </w:pPr>
            <w:r>
              <w:rPr>
                <w:color w:val="000000"/>
                <w:sz w:val="20"/>
              </w:rPr>
              <w:t>For Council Consideration</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 xml:space="preserve">The support of local community, neighbourhood property owners and the local </w:t>
            </w:r>
            <w:r>
              <w:rPr>
                <w:color w:val="000000"/>
                <w:sz w:val="20"/>
              </w:rPr>
              <w:t>N</w:t>
            </w:r>
            <w:r w:rsidRPr="00763BCF">
              <w:rPr>
                <w:color w:val="000000"/>
                <w:sz w:val="20"/>
              </w:rPr>
              <w:t xml:space="preserve">eighbourhood </w:t>
            </w:r>
            <w:r>
              <w:rPr>
                <w:color w:val="000000"/>
                <w:sz w:val="20"/>
              </w:rPr>
              <w:t>A</w:t>
            </w:r>
            <w:r w:rsidRPr="00763BCF">
              <w:rPr>
                <w:color w:val="000000"/>
                <w:sz w:val="20"/>
              </w:rPr>
              <w:t>ssociation for the proposed LRS is important to Council’s decision.</w:t>
            </w:r>
          </w:p>
        </w:tc>
        <w:tc>
          <w:tcPr>
            <w:tcW w:w="5400" w:type="dxa"/>
          </w:tcPr>
          <w:p w:rsidR="00D73905" w:rsidRDefault="006425F8" w:rsidP="009622F2">
            <w:pPr>
              <w:spacing w:before="40"/>
              <w:jc w:val="both"/>
              <w:rPr>
                <w:color w:val="000000"/>
                <w:sz w:val="20"/>
              </w:rPr>
            </w:pPr>
            <w:r w:rsidRPr="00763BCF">
              <w:rPr>
                <w:color w:val="000000"/>
                <w:sz w:val="20"/>
              </w:rPr>
              <w:t xml:space="preserve">This application </w:t>
            </w:r>
            <w:r w:rsidR="007A1A7C">
              <w:rPr>
                <w:color w:val="000000"/>
                <w:sz w:val="20"/>
              </w:rPr>
              <w:t>is</w:t>
            </w:r>
            <w:r w:rsidRPr="00763BCF">
              <w:rPr>
                <w:color w:val="000000"/>
                <w:sz w:val="20"/>
              </w:rPr>
              <w:t xml:space="preserve"> posted on the City website</w:t>
            </w:r>
            <w:r w:rsidR="007A1A7C">
              <w:rPr>
                <w:color w:val="000000"/>
                <w:sz w:val="20"/>
              </w:rPr>
              <w:t xml:space="preserve"> and was </w:t>
            </w:r>
            <w:r w:rsidR="00D73905">
              <w:rPr>
                <w:color w:val="000000"/>
                <w:sz w:val="20"/>
              </w:rPr>
              <w:t>referred</w:t>
            </w:r>
            <w:r w:rsidR="007A1A7C">
              <w:rPr>
                <w:color w:val="000000"/>
                <w:sz w:val="20"/>
              </w:rPr>
              <w:t xml:space="preserve"> to the </w:t>
            </w:r>
            <w:r w:rsidR="00D73905">
              <w:rPr>
                <w:color w:val="000000"/>
                <w:sz w:val="20"/>
              </w:rPr>
              <w:t>Departure Bay Neighbourhood Association and Snuneymuxw First Nation</w:t>
            </w:r>
            <w:r w:rsidR="007218E0">
              <w:rPr>
                <w:color w:val="000000"/>
                <w:sz w:val="20"/>
              </w:rPr>
              <w:t xml:space="preserve"> (SFN)</w:t>
            </w:r>
            <w:r w:rsidRPr="00763BCF">
              <w:rPr>
                <w:color w:val="000000"/>
                <w:sz w:val="20"/>
              </w:rPr>
              <w:t xml:space="preserve">.  </w:t>
            </w:r>
            <w:r w:rsidR="008B5391">
              <w:rPr>
                <w:color w:val="000000"/>
                <w:sz w:val="20"/>
              </w:rPr>
              <w:t>To date n</w:t>
            </w:r>
            <w:r w:rsidR="007218E0">
              <w:rPr>
                <w:color w:val="000000"/>
                <w:sz w:val="20"/>
              </w:rPr>
              <w:t xml:space="preserve">o response </w:t>
            </w:r>
            <w:r w:rsidR="008B5391">
              <w:rPr>
                <w:color w:val="000000"/>
                <w:sz w:val="20"/>
              </w:rPr>
              <w:t>has been</w:t>
            </w:r>
            <w:r w:rsidR="007218E0">
              <w:rPr>
                <w:color w:val="000000"/>
                <w:sz w:val="20"/>
              </w:rPr>
              <w:t xml:space="preserve"> received from SFN.</w:t>
            </w:r>
          </w:p>
          <w:p w:rsidR="007218E0" w:rsidRPr="00B80E23" w:rsidRDefault="007218E0" w:rsidP="009622F2">
            <w:pPr>
              <w:spacing w:before="40"/>
              <w:jc w:val="both"/>
              <w:rPr>
                <w:color w:val="000000"/>
                <w:sz w:val="12"/>
                <w:szCs w:val="12"/>
              </w:rPr>
            </w:pPr>
          </w:p>
          <w:p w:rsidR="00B73586" w:rsidRDefault="006425F8" w:rsidP="009622F2">
            <w:pPr>
              <w:spacing w:before="40"/>
              <w:jc w:val="both"/>
              <w:rPr>
                <w:color w:val="000000"/>
                <w:sz w:val="20"/>
              </w:rPr>
            </w:pPr>
            <w:r w:rsidRPr="00763BCF">
              <w:rPr>
                <w:color w:val="000000"/>
                <w:sz w:val="20"/>
              </w:rPr>
              <w:t>The applicant hosted an Open House on 201</w:t>
            </w:r>
            <w:r w:rsidR="00D73905">
              <w:rPr>
                <w:color w:val="000000"/>
                <w:sz w:val="20"/>
              </w:rPr>
              <w:t>4-FEB-</w:t>
            </w:r>
            <w:r w:rsidR="00B80E23">
              <w:rPr>
                <w:color w:val="000000"/>
                <w:sz w:val="20"/>
              </w:rPr>
              <w:t>0</w:t>
            </w:r>
            <w:r w:rsidR="00D73905">
              <w:rPr>
                <w:color w:val="000000"/>
                <w:sz w:val="20"/>
              </w:rPr>
              <w:t>5</w:t>
            </w:r>
            <w:r w:rsidRPr="00763BCF">
              <w:rPr>
                <w:color w:val="000000"/>
                <w:sz w:val="20"/>
              </w:rPr>
              <w:t xml:space="preserve"> at the </w:t>
            </w:r>
            <w:r w:rsidR="00D73905">
              <w:rPr>
                <w:color w:val="000000"/>
                <w:sz w:val="20"/>
              </w:rPr>
              <w:t>Kin Hut</w:t>
            </w:r>
            <w:r w:rsidR="00B73586">
              <w:rPr>
                <w:color w:val="000000"/>
                <w:sz w:val="20"/>
              </w:rPr>
              <w:t xml:space="preserve">.  </w:t>
            </w:r>
            <w:r w:rsidR="009622F2">
              <w:rPr>
                <w:color w:val="000000"/>
                <w:sz w:val="20"/>
              </w:rPr>
              <w:t xml:space="preserve">Approximately 80 local residents attended the open house. </w:t>
            </w:r>
          </w:p>
          <w:p w:rsidR="00D86700" w:rsidRPr="00B80E23" w:rsidRDefault="00D86700" w:rsidP="009622F2">
            <w:pPr>
              <w:spacing w:before="40"/>
              <w:jc w:val="both"/>
              <w:rPr>
                <w:color w:val="000000"/>
                <w:sz w:val="12"/>
                <w:szCs w:val="12"/>
              </w:rPr>
            </w:pPr>
          </w:p>
          <w:p w:rsidR="00D86700" w:rsidRDefault="00D86700" w:rsidP="009622F2">
            <w:pPr>
              <w:spacing w:before="40"/>
              <w:jc w:val="both"/>
              <w:rPr>
                <w:color w:val="000000"/>
                <w:sz w:val="20"/>
              </w:rPr>
            </w:pPr>
            <w:r>
              <w:rPr>
                <w:color w:val="000000"/>
                <w:sz w:val="20"/>
              </w:rPr>
              <w:t xml:space="preserve">The neighbourhood association conducted a questionnaire regarding the proposed LRS.  The questionnaire was mailed to 130 neighbourhood association members and hand delivered to 110 local residents between January 27 to February 7, 2014.  A summary of the questionnaire results and the neighbourhood associations referral response is provided (Attachment </w:t>
            </w:r>
            <w:r w:rsidR="00381877">
              <w:rPr>
                <w:color w:val="000000"/>
                <w:sz w:val="20"/>
              </w:rPr>
              <w:t>D</w:t>
            </w:r>
            <w:r>
              <w:rPr>
                <w:color w:val="000000"/>
                <w:sz w:val="20"/>
              </w:rPr>
              <w:t>)</w:t>
            </w:r>
          </w:p>
          <w:p w:rsidR="00D86700" w:rsidRPr="00B80E23" w:rsidRDefault="00D86700" w:rsidP="009622F2">
            <w:pPr>
              <w:spacing w:before="40"/>
              <w:jc w:val="both"/>
              <w:rPr>
                <w:color w:val="000000"/>
                <w:sz w:val="12"/>
                <w:szCs w:val="12"/>
              </w:rPr>
            </w:pPr>
          </w:p>
          <w:p w:rsidR="006425F8" w:rsidRPr="00763BCF" w:rsidRDefault="00D86700" w:rsidP="00D33287">
            <w:pPr>
              <w:spacing w:before="40"/>
              <w:jc w:val="both"/>
              <w:rPr>
                <w:color w:val="000000"/>
                <w:sz w:val="20"/>
              </w:rPr>
            </w:pPr>
            <w:r>
              <w:rPr>
                <w:color w:val="000000"/>
                <w:sz w:val="20"/>
              </w:rPr>
              <w:t xml:space="preserve">To date Staff has received </w:t>
            </w:r>
            <w:r w:rsidR="00D33287">
              <w:rPr>
                <w:color w:val="000000"/>
                <w:sz w:val="20"/>
              </w:rPr>
              <w:t>one</w:t>
            </w:r>
            <w:r>
              <w:rPr>
                <w:color w:val="000000"/>
                <w:sz w:val="20"/>
              </w:rPr>
              <w:t xml:space="preserve"> letter of opposition to the</w:t>
            </w:r>
            <w:r w:rsidR="00381877">
              <w:rPr>
                <w:color w:val="000000"/>
                <w:sz w:val="20"/>
              </w:rPr>
              <w:t xml:space="preserve"> proposed rezoning (Attachment E</w:t>
            </w:r>
            <w:r>
              <w:rPr>
                <w:color w:val="000000"/>
                <w:sz w:val="20"/>
              </w:rPr>
              <w:t>).</w:t>
            </w:r>
          </w:p>
        </w:tc>
        <w:tc>
          <w:tcPr>
            <w:tcW w:w="1530" w:type="dxa"/>
          </w:tcPr>
          <w:p w:rsidR="006425F8" w:rsidRPr="00763BCF" w:rsidRDefault="006425F8" w:rsidP="002B048A">
            <w:pPr>
              <w:spacing w:before="40"/>
              <w:jc w:val="center"/>
              <w:rPr>
                <w:color w:val="000000"/>
                <w:sz w:val="20"/>
              </w:rPr>
            </w:pPr>
            <w:r w:rsidRPr="00763BCF">
              <w:rPr>
                <w:color w:val="000000"/>
                <w:sz w:val="20"/>
              </w:rPr>
              <w:t>For Council Consideration</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application shall be reviewed by the Social Planning Advisory Committee (SPAC).</w:t>
            </w:r>
          </w:p>
        </w:tc>
        <w:tc>
          <w:tcPr>
            <w:tcW w:w="5400" w:type="dxa"/>
          </w:tcPr>
          <w:p w:rsidR="006425F8" w:rsidRDefault="006425F8" w:rsidP="003C355F">
            <w:pPr>
              <w:spacing w:before="40"/>
              <w:rPr>
                <w:color w:val="000000"/>
                <w:sz w:val="20"/>
              </w:rPr>
            </w:pPr>
            <w:r w:rsidRPr="00763BCF">
              <w:rPr>
                <w:color w:val="000000"/>
                <w:sz w:val="20"/>
              </w:rPr>
              <w:t>SPAC reviewed the application at its regular meeting of 201</w:t>
            </w:r>
            <w:r w:rsidR="003C355F">
              <w:rPr>
                <w:color w:val="000000"/>
                <w:sz w:val="20"/>
              </w:rPr>
              <w:t xml:space="preserve">4-JAN-07 </w:t>
            </w:r>
            <w:r w:rsidRPr="00763BCF">
              <w:rPr>
                <w:color w:val="000000"/>
                <w:sz w:val="20"/>
              </w:rPr>
              <w:t xml:space="preserve">and recommended </w:t>
            </w:r>
            <w:r w:rsidR="003C355F">
              <w:rPr>
                <w:color w:val="000000"/>
                <w:sz w:val="20"/>
              </w:rPr>
              <w:t>approval of the rezoning application.</w:t>
            </w:r>
          </w:p>
          <w:p w:rsidR="00AF1939" w:rsidRPr="0007590F" w:rsidRDefault="00AF1939" w:rsidP="003C355F">
            <w:pPr>
              <w:spacing w:before="40"/>
              <w:rPr>
                <w:color w:val="000000"/>
                <w:sz w:val="12"/>
                <w:szCs w:val="12"/>
              </w:rPr>
            </w:pPr>
          </w:p>
          <w:p w:rsidR="00AF1939" w:rsidRDefault="00AF1939" w:rsidP="003C355F">
            <w:pPr>
              <w:spacing w:before="40"/>
              <w:rPr>
                <w:color w:val="000000"/>
                <w:sz w:val="20"/>
              </w:rPr>
            </w:pPr>
            <w:r w:rsidRPr="0007590F">
              <w:rPr>
                <w:color w:val="000000"/>
                <w:sz w:val="20"/>
              </w:rPr>
              <w:t>The committee did however recommend that the applicant consider entering into a Good Neighbour Agreement that could include addressing litter problems associated with the business, and that the applicant contact Snuneymuxw First Nations (SFN) to inform them of the application prior to the Public Hearing.</w:t>
            </w:r>
          </w:p>
          <w:p w:rsidR="0007590F" w:rsidRPr="0007590F" w:rsidRDefault="0007590F" w:rsidP="003C355F">
            <w:pPr>
              <w:spacing w:before="40"/>
              <w:rPr>
                <w:color w:val="000000"/>
                <w:sz w:val="12"/>
                <w:szCs w:val="12"/>
              </w:rPr>
            </w:pPr>
          </w:p>
          <w:p w:rsidR="0007590F" w:rsidRPr="00763BCF" w:rsidRDefault="0007590F" w:rsidP="003C355F">
            <w:pPr>
              <w:spacing w:before="40"/>
              <w:rPr>
                <w:color w:val="000000"/>
                <w:sz w:val="20"/>
              </w:rPr>
            </w:pPr>
            <w:r>
              <w:rPr>
                <w:color w:val="000000"/>
                <w:sz w:val="20"/>
              </w:rPr>
              <w:t>Staff do not support entering into a Good Neighbour Agreement for a Licensed Retail Store.  Concerns regarding litter and business hours can be better addressed through existing bylaws.</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6425F8" w:rsidRPr="00763BCF" w:rsidRDefault="006425F8" w:rsidP="002B048A">
            <w:pPr>
              <w:spacing w:before="40"/>
              <w:rPr>
                <w:color w:val="000000"/>
                <w:sz w:val="20"/>
              </w:rPr>
            </w:pPr>
            <w:r w:rsidRPr="00763BCF">
              <w:rPr>
                <w:color w:val="000000"/>
                <w:sz w:val="20"/>
              </w:rPr>
              <w:t>The application shall be reviewed by the RCMP.</w:t>
            </w:r>
          </w:p>
        </w:tc>
        <w:tc>
          <w:tcPr>
            <w:tcW w:w="5400" w:type="dxa"/>
          </w:tcPr>
          <w:p w:rsidR="006425F8" w:rsidRPr="00763BCF" w:rsidRDefault="006425F8" w:rsidP="003C355F">
            <w:pPr>
              <w:spacing w:before="40"/>
              <w:rPr>
                <w:color w:val="000000"/>
                <w:sz w:val="20"/>
              </w:rPr>
            </w:pPr>
            <w:r w:rsidRPr="00763BCF">
              <w:rPr>
                <w:color w:val="000000"/>
                <w:sz w:val="20"/>
              </w:rPr>
              <w:t>The RCMP reviewed the application and is not opposed to the proposed relocation of the LRS (</w:t>
            </w:r>
            <w:r w:rsidRPr="00436CB4">
              <w:rPr>
                <w:color w:val="000000"/>
                <w:sz w:val="20"/>
              </w:rPr>
              <w:t xml:space="preserve">Attachment </w:t>
            </w:r>
            <w:r w:rsidR="00381877">
              <w:rPr>
                <w:color w:val="000000"/>
                <w:sz w:val="20"/>
              </w:rPr>
              <w:t>F</w:t>
            </w:r>
            <w:r w:rsidRPr="00763BCF">
              <w:rPr>
                <w:color w:val="000000"/>
                <w:sz w:val="20"/>
              </w:rPr>
              <w:t>).</w:t>
            </w:r>
          </w:p>
        </w:tc>
        <w:tc>
          <w:tcPr>
            <w:tcW w:w="1530" w:type="dxa"/>
          </w:tcPr>
          <w:p w:rsidR="006425F8" w:rsidRPr="00763BCF" w:rsidRDefault="006425F8" w:rsidP="002B048A">
            <w:pPr>
              <w:spacing w:before="40"/>
              <w:jc w:val="center"/>
              <w:rPr>
                <w:color w:val="000000"/>
                <w:sz w:val="20"/>
              </w:rPr>
            </w:pPr>
            <w:r w:rsidRPr="00763BCF">
              <w:rPr>
                <w:color w:val="000000"/>
                <w:sz w:val="20"/>
              </w:rPr>
              <w:t>For Council Consideration</w:t>
            </w:r>
          </w:p>
        </w:tc>
      </w:tr>
      <w:tr w:rsidR="006425F8" w:rsidRPr="00763BCF" w:rsidTr="00B841E4">
        <w:tc>
          <w:tcPr>
            <w:tcW w:w="2610" w:type="dxa"/>
          </w:tcPr>
          <w:p w:rsidR="006425F8" w:rsidRPr="00763BCF" w:rsidRDefault="006425F8" w:rsidP="00B80E23">
            <w:pPr>
              <w:spacing w:before="40"/>
              <w:rPr>
                <w:i/>
                <w:color w:val="000000"/>
                <w:sz w:val="20"/>
              </w:rPr>
            </w:pPr>
            <w:r w:rsidRPr="00763BCF">
              <w:rPr>
                <w:color w:val="000000"/>
                <w:sz w:val="20"/>
              </w:rPr>
              <w:t>The application shall be reviewed by the Rezoning Advisory Committee (RAC).</w:t>
            </w:r>
            <w:r w:rsidR="00B80E23">
              <w:rPr>
                <w:color w:val="000000"/>
                <w:sz w:val="20"/>
              </w:rPr>
              <w:t xml:space="preserve">  </w:t>
            </w:r>
            <w:r w:rsidRPr="00763BCF">
              <w:rPr>
                <w:i/>
                <w:color w:val="000000"/>
                <w:sz w:val="20"/>
              </w:rPr>
              <w:t>RAC, a subcommittee of PNAC (planNanaimo Advisory Committee) has since been dissolved back into PNAC (now APC).</w:t>
            </w:r>
          </w:p>
        </w:tc>
        <w:tc>
          <w:tcPr>
            <w:tcW w:w="5400" w:type="dxa"/>
          </w:tcPr>
          <w:p w:rsidR="006425F8" w:rsidRPr="00763BCF" w:rsidRDefault="006425F8" w:rsidP="00B80E23">
            <w:pPr>
              <w:spacing w:before="40"/>
              <w:rPr>
                <w:color w:val="000000"/>
                <w:sz w:val="20"/>
              </w:rPr>
            </w:pPr>
            <w:r w:rsidRPr="00763BCF">
              <w:rPr>
                <w:color w:val="000000"/>
                <w:sz w:val="20"/>
              </w:rPr>
              <w:t>The Advisory Planning Committee (</w:t>
            </w:r>
            <w:r>
              <w:rPr>
                <w:color w:val="000000"/>
                <w:sz w:val="20"/>
              </w:rPr>
              <w:t>APC</w:t>
            </w:r>
            <w:r w:rsidR="00B80E23">
              <w:rPr>
                <w:color w:val="000000"/>
                <w:sz w:val="20"/>
              </w:rPr>
              <w:t>)</w:t>
            </w:r>
            <w:r>
              <w:rPr>
                <w:color w:val="000000"/>
                <w:sz w:val="20"/>
              </w:rPr>
              <w:t xml:space="preserve"> </w:t>
            </w:r>
            <w:r w:rsidRPr="00763BCF">
              <w:rPr>
                <w:color w:val="000000"/>
                <w:sz w:val="20"/>
              </w:rPr>
              <w:t>previously known as the planNanaimo Advisory Committee) reviewed the application at its regular meeting of 201</w:t>
            </w:r>
            <w:r w:rsidR="003C355F">
              <w:rPr>
                <w:color w:val="000000"/>
                <w:sz w:val="20"/>
              </w:rPr>
              <w:t>4-JAN-21</w:t>
            </w:r>
            <w:r w:rsidR="00444374">
              <w:rPr>
                <w:color w:val="000000"/>
                <w:sz w:val="20"/>
              </w:rPr>
              <w:t>.  Due to one of the committee members declaring a conflict of interest, APC was not able to form a quorum but did indicate they were generally in favour of the application</w:t>
            </w:r>
            <w:r w:rsidR="00B80E23">
              <w:rPr>
                <w:color w:val="000000"/>
                <w:sz w:val="20"/>
              </w:rPr>
              <w:t>,</w:t>
            </w:r>
            <w:r w:rsidR="00444374">
              <w:rPr>
                <w:color w:val="000000"/>
                <w:sz w:val="20"/>
              </w:rPr>
              <w:t xml:space="preserve"> but recommended addition</w:t>
            </w:r>
            <w:r w:rsidR="00B80E23">
              <w:rPr>
                <w:color w:val="000000"/>
                <w:sz w:val="20"/>
              </w:rPr>
              <w:t>al</w:t>
            </w:r>
            <w:r w:rsidR="00444374">
              <w:rPr>
                <w:color w:val="000000"/>
                <w:sz w:val="20"/>
              </w:rPr>
              <w:t xml:space="preserve"> consultation should be undertaken prior to proceeding to Council.</w:t>
            </w:r>
          </w:p>
        </w:tc>
        <w:tc>
          <w:tcPr>
            <w:tcW w:w="1530" w:type="dxa"/>
          </w:tcPr>
          <w:p w:rsidR="006425F8" w:rsidRPr="00763BCF" w:rsidRDefault="006425F8" w:rsidP="002B048A">
            <w:pPr>
              <w:spacing w:before="40"/>
              <w:jc w:val="center"/>
              <w:rPr>
                <w:color w:val="000000"/>
                <w:sz w:val="20"/>
              </w:rPr>
            </w:pPr>
            <w:r w:rsidRPr="00763BCF">
              <w:rPr>
                <w:color w:val="000000"/>
                <w:sz w:val="20"/>
              </w:rPr>
              <w:t>Yes</w:t>
            </w:r>
          </w:p>
        </w:tc>
      </w:tr>
      <w:tr w:rsidR="006425F8" w:rsidRPr="00763BCF" w:rsidTr="00B841E4">
        <w:tc>
          <w:tcPr>
            <w:tcW w:w="2610" w:type="dxa"/>
          </w:tcPr>
          <w:p w:rsidR="006425F8" w:rsidRPr="0098331F" w:rsidRDefault="006425F8" w:rsidP="002B048A">
            <w:pPr>
              <w:spacing w:before="40"/>
              <w:rPr>
                <w:color w:val="000000"/>
                <w:sz w:val="20"/>
              </w:rPr>
            </w:pPr>
            <w:r w:rsidRPr="0098331F">
              <w:rPr>
                <w:color w:val="000000"/>
                <w:sz w:val="20"/>
              </w:rPr>
              <w:t>A copy of the LCLB letter of approval for the proposed LRS.</w:t>
            </w:r>
          </w:p>
        </w:tc>
        <w:tc>
          <w:tcPr>
            <w:tcW w:w="5400" w:type="dxa"/>
          </w:tcPr>
          <w:p w:rsidR="006425F8" w:rsidRPr="0098331F" w:rsidRDefault="006425F8" w:rsidP="0098331F">
            <w:pPr>
              <w:spacing w:before="40"/>
              <w:rPr>
                <w:color w:val="000000"/>
                <w:sz w:val="20"/>
              </w:rPr>
            </w:pPr>
            <w:r w:rsidRPr="0098331F">
              <w:rPr>
                <w:color w:val="000000"/>
                <w:sz w:val="20"/>
              </w:rPr>
              <w:t xml:space="preserve">This applicant has submitted a preliminary approval letter for </w:t>
            </w:r>
            <w:r w:rsidR="0098331F" w:rsidRPr="0098331F">
              <w:rPr>
                <w:color w:val="000000"/>
                <w:sz w:val="20"/>
              </w:rPr>
              <w:t>“approval in principal” as p</w:t>
            </w:r>
            <w:r w:rsidR="00381877">
              <w:rPr>
                <w:color w:val="000000"/>
                <w:sz w:val="20"/>
              </w:rPr>
              <w:t>rovide by the LCLB (Attachment G</w:t>
            </w:r>
            <w:r w:rsidR="0098331F" w:rsidRPr="0098331F">
              <w:rPr>
                <w:color w:val="000000"/>
                <w:sz w:val="20"/>
              </w:rPr>
              <w:t>).</w:t>
            </w:r>
          </w:p>
        </w:tc>
        <w:tc>
          <w:tcPr>
            <w:tcW w:w="1530" w:type="dxa"/>
          </w:tcPr>
          <w:p w:rsidR="006425F8" w:rsidRPr="00763BCF" w:rsidRDefault="006425F8" w:rsidP="002B048A">
            <w:pPr>
              <w:spacing w:before="40"/>
              <w:jc w:val="center"/>
              <w:rPr>
                <w:color w:val="000000"/>
                <w:sz w:val="20"/>
              </w:rPr>
            </w:pPr>
            <w:r w:rsidRPr="0098331F">
              <w:rPr>
                <w:color w:val="000000"/>
                <w:sz w:val="20"/>
              </w:rPr>
              <w:t>Yes</w:t>
            </w:r>
          </w:p>
        </w:tc>
      </w:tr>
    </w:tbl>
    <w:p w:rsidR="006425F8" w:rsidRDefault="006425F8" w:rsidP="00D34AF1"/>
    <w:p w:rsidR="00900D53" w:rsidRPr="00D34AF1" w:rsidRDefault="004F5CCF" w:rsidP="00D34AF1">
      <w:pPr>
        <w:ind w:right="-421"/>
        <w:jc w:val="both"/>
        <w:rPr>
          <w:b/>
          <w:i/>
        </w:rPr>
      </w:pPr>
      <w:r w:rsidRPr="00D34AF1">
        <w:rPr>
          <w:b/>
          <w:i/>
        </w:rPr>
        <w:t xml:space="preserve">Road </w:t>
      </w:r>
      <w:r w:rsidR="00F33337">
        <w:rPr>
          <w:b/>
          <w:i/>
        </w:rPr>
        <w:t xml:space="preserve">Dedication </w:t>
      </w:r>
      <w:r w:rsidRPr="00D34AF1">
        <w:rPr>
          <w:b/>
          <w:i/>
        </w:rPr>
        <w:t>Reserve</w:t>
      </w:r>
      <w:r w:rsidR="00B11C78" w:rsidRPr="00D34AF1">
        <w:rPr>
          <w:b/>
          <w:i/>
        </w:rPr>
        <w:t xml:space="preserve"> Fund</w:t>
      </w:r>
    </w:p>
    <w:p w:rsidR="0007590F" w:rsidRDefault="004F5CCF" w:rsidP="00D34AF1">
      <w:pPr>
        <w:jc w:val="both"/>
      </w:pPr>
      <w:r>
        <w:t>As part of any rezoning application</w:t>
      </w:r>
      <w:r w:rsidR="00B80E23">
        <w:t>,</w:t>
      </w:r>
      <w:r>
        <w:t xml:space="preserve"> the City </w:t>
      </w:r>
      <w:r w:rsidR="00AF68FF">
        <w:t>often</w:t>
      </w:r>
      <w:r>
        <w:t xml:space="preserve"> require</w:t>
      </w:r>
      <w:r w:rsidR="00AF68FF">
        <w:t>s</w:t>
      </w:r>
      <w:r>
        <w:t xml:space="preserve"> a portion of the property as road dedication in order to accommodate future road widening.  </w:t>
      </w:r>
    </w:p>
    <w:p w:rsidR="0007590F" w:rsidRDefault="0007590F" w:rsidP="00D34AF1">
      <w:pPr>
        <w:jc w:val="both"/>
      </w:pPr>
    </w:p>
    <w:p w:rsidR="0007590F" w:rsidRDefault="0007590F" w:rsidP="00D34AF1">
      <w:pPr>
        <w:jc w:val="both"/>
      </w:pPr>
    </w:p>
    <w:p w:rsidR="0007590F" w:rsidRDefault="0007590F" w:rsidP="00D34AF1">
      <w:pPr>
        <w:jc w:val="both"/>
      </w:pPr>
    </w:p>
    <w:p w:rsidR="00AF3084" w:rsidRDefault="004F5CCF" w:rsidP="00D34AF1">
      <w:pPr>
        <w:jc w:val="both"/>
      </w:pPr>
      <w:r>
        <w:t>By acquiring road dedication through rezoning the City is able to achieve</w:t>
      </w:r>
      <w:r w:rsidR="00123F83">
        <w:t xml:space="preserve"> the required road right</w:t>
      </w:r>
      <w:r w:rsidR="00495189">
        <w:t>-</w:t>
      </w:r>
      <w:r w:rsidR="00123F83">
        <w:t>of</w:t>
      </w:r>
      <w:r w:rsidR="00495189">
        <w:t>-</w:t>
      </w:r>
      <w:r w:rsidR="00123F83">
        <w:t>way</w:t>
      </w:r>
      <w:r>
        <w:t xml:space="preserve"> needed to accommodate </w:t>
      </w:r>
      <w:r w:rsidR="004E4387">
        <w:t xml:space="preserve">improvements suggested within the City’s </w:t>
      </w:r>
      <w:r w:rsidR="00495189">
        <w:t>Road Classification Standards</w:t>
      </w:r>
      <w:r w:rsidR="00740629">
        <w:t xml:space="preserve"> </w:t>
      </w:r>
      <w:r w:rsidR="004E4387">
        <w:t xml:space="preserve">without the need </w:t>
      </w:r>
      <w:r w:rsidR="008B5391">
        <w:t>to purchase the required dedication.</w:t>
      </w:r>
    </w:p>
    <w:p w:rsidR="00D34AF1" w:rsidRDefault="00D34AF1" w:rsidP="00D34AF1">
      <w:pPr>
        <w:jc w:val="both"/>
      </w:pPr>
    </w:p>
    <w:p w:rsidR="00123C7E" w:rsidRDefault="00740629" w:rsidP="00D34AF1">
      <w:pPr>
        <w:jc w:val="both"/>
      </w:pPr>
      <w:r>
        <w:t xml:space="preserve">Departure Bay Road is a Major Road within the City’s road classification network.  The frontage adjacent to the subject property and adjacent to Departure Bay Road is flagged for long term improvements in the Transportation Master Plan.  In order to achieve the road standard recommended within the </w:t>
      </w:r>
      <w:r w:rsidR="00123F83">
        <w:t>plan</w:t>
      </w:r>
      <w:r w:rsidR="00495189">
        <w:t>,</w:t>
      </w:r>
      <w:r w:rsidR="00123F83">
        <w:t xml:space="preserve"> </w:t>
      </w:r>
      <w:r w:rsidR="00123C7E">
        <w:t>2.3m to 4.5m of additional road right</w:t>
      </w:r>
      <w:r w:rsidR="00495189">
        <w:t>-</w:t>
      </w:r>
      <w:r w:rsidR="00123C7E">
        <w:t>of</w:t>
      </w:r>
      <w:r w:rsidR="00495189">
        <w:t>-</w:t>
      </w:r>
      <w:r w:rsidR="00123C7E">
        <w:t>way needs to be acquired.</w:t>
      </w:r>
      <w:r w:rsidR="00AF3084">
        <w:t xml:space="preserve">  It should however be noted that the scope of improvements is unknown and the timing of improvements is likely </w:t>
      </w:r>
      <w:r w:rsidR="00F33337">
        <w:t>in the longer term</w:t>
      </w:r>
      <w:r w:rsidR="00AF3084">
        <w:t>.</w:t>
      </w:r>
    </w:p>
    <w:p w:rsidR="00D34AF1" w:rsidRDefault="00D34AF1" w:rsidP="00D34AF1">
      <w:pPr>
        <w:jc w:val="both"/>
      </w:pPr>
    </w:p>
    <w:p w:rsidR="00900D53" w:rsidRDefault="00AF3084" w:rsidP="00D34AF1">
      <w:pPr>
        <w:jc w:val="both"/>
      </w:pPr>
      <w:r>
        <w:t xml:space="preserve">The property is currently owned by 7-Eleven Canada.  Mr. Wicks is proposing to lease the space for the LRS from 7-Eleven.  </w:t>
      </w:r>
      <w:r w:rsidR="001243E9">
        <w:t xml:space="preserve">As 7-Eleven is unwilling to provide the requested road dedication or enter into a road reserve covenant with an option to purchase, the City has worked with Mr. Wicks to develop an alternative solution to assist the City in acquiring the road dedication when needed.  Mr. Wicks has proposed an “in lieu” payment in place of the originally requested highway </w:t>
      </w:r>
      <w:r w:rsidR="00F33337">
        <w:t xml:space="preserve">road </w:t>
      </w:r>
      <w:r w:rsidR="001243E9">
        <w:t>reserv</w:t>
      </w:r>
      <w:r w:rsidR="00F33337">
        <w:t>e</w:t>
      </w:r>
      <w:r w:rsidR="001243E9">
        <w:t xml:space="preserve"> covenant.  The sum of the “in-lieu” payment of $79,686.71 </w:t>
      </w:r>
      <w:r w:rsidR="00495189">
        <w:t>w</w:t>
      </w:r>
      <w:r w:rsidR="001243E9">
        <w:t>as calculated based on the</w:t>
      </w:r>
      <w:r w:rsidR="00F33337">
        <w:t xml:space="preserve"> current</w:t>
      </w:r>
      <w:r w:rsidR="001243E9">
        <w:t xml:space="preserve"> ass</w:t>
      </w:r>
      <w:r w:rsidR="001D5182">
        <w:t>esse</w:t>
      </w:r>
      <w:r w:rsidR="001243E9">
        <w:t xml:space="preserve">d value of </w:t>
      </w:r>
      <w:r w:rsidR="001D5182">
        <w:t xml:space="preserve">road dedication area </w:t>
      </w:r>
      <w:r w:rsidR="00495189">
        <w:t xml:space="preserve">and </w:t>
      </w:r>
      <w:r w:rsidR="001D5182">
        <w:t xml:space="preserve">will be held by the City </w:t>
      </w:r>
      <w:r w:rsidR="00F33337">
        <w:t xml:space="preserve">in the reserve fund </w:t>
      </w:r>
      <w:r w:rsidR="001D5182">
        <w:t xml:space="preserve">and </w:t>
      </w:r>
      <w:r w:rsidR="00F33337">
        <w:t xml:space="preserve">then </w:t>
      </w:r>
      <w:r w:rsidR="001D5182">
        <w:t xml:space="preserve">used to purchase the road area when needed.  </w:t>
      </w:r>
      <w:r w:rsidR="00F33337">
        <w:t>This proposal has been reviewed and is acceptable to Staff.</w:t>
      </w:r>
    </w:p>
    <w:p w:rsidR="00AF3084" w:rsidRDefault="00AF3084" w:rsidP="00D34AF1">
      <w:pPr>
        <w:jc w:val="both"/>
      </w:pPr>
    </w:p>
    <w:p w:rsidR="000569FA" w:rsidRPr="00973E48" w:rsidRDefault="000569FA" w:rsidP="00D34AF1">
      <w:pPr>
        <w:jc w:val="both"/>
        <w:rPr>
          <w:b/>
          <w:i/>
          <w:szCs w:val="22"/>
        </w:rPr>
      </w:pPr>
      <w:r w:rsidRPr="00973E48">
        <w:rPr>
          <w:b/>
          <w:i/>
          <w:szCs w:val="22"/>
        </w:rPr>
        <w:t>Community Contribution</w:t>
      </w:r>
    </w:p>
    <w:p w:rsidR="000569FA" w:rsidRPr="00111FFE" w:rsidRDefault="000569FA" w:rsidP="00D34AF1">
      <w:pPr>
        <w:jc w:val="both"/>
        <w:rPr>
          <w:szCs w:val="22"/>
        </w:rPr>
      </w:pPr>
      <w:r w:rsidRPr="00111FFE">
        <w:rPr>
          <w:szCs w:val="22"/>
        </w:rPr>
        <w:t xml:space="preserve">As outlined in Section 7.3 of the OCP, in exchange for value conferred on land through a rezoning, the applicant should provide a community contribution.  In response to Council’s policy, the applicant is proposing </w:t>
      </w:r>
      <w:r w:rsidR="00111FFE" w:rsidRPr="00111FFE">
        <w:rPr>
          <w:szCs w:val="22"/>
        </w:rPr>
        <w:t>a</w:t>
      </w:r>
      <w:r w:rsidR="00111FFE" w:rsidRPr="00111FFE">
        <w:rPr>
          <w:rFonts w:cs="Arial"/>
          <w:szCs w:val="22"/>
        </w:rPr>
        <w:t xml:space="preserve"> community contribution of </w:t>
      </w:r>
      <w:r w:rsidR="001D5182">
        <w:rPr>
          <w:rFonts w:cs="Arial"/>
          <w:szCs w:val="22"/>
        </w:rPr>
        <w:t>$10,000 which will be directed towards park improvements in the Departure Bay area.</w:t>
      </w:r>
    </w:p>
    <w:p w:rsidR="000569FA" w:rsidRDefault="000569FA" w:rsidP="00D34AF1">
      <w:pPr>
        <w:jc w:val="both"/>
        <w:rPr>
          <w:rFonts w:cs="Arial"/>
          <w:szCs w:val="22"/>
          <w:highlight w:val="yellow"/>
        </w:rPr>
      </w:pPr>
    </w:p>
    <w:p w:rsidR="000569FA" w:rsidRPr="0085438C" w:rsidRDefault="000569FA" w:rsidP="00D34AF1">
      <w:pPr>
        <w:jc w:val="both"/>
        <w:rPr>
          <w:rFonts w:cs="Arial"/>
          <w:szCs w:val="22"/>
        </w:rPr>
      </w:pPr>
      <w:r w:rsidRPr="0085438C">
        <w:rPr>
          <w:rFonts w:cs="Arial"/>
          <w:szCs w:val="22"/>
        </w:rPr>
        <w:t>Respectfully submitted,</w:t>
      </w:r>
    </w:p>
    <w:p w:rsidR="000569FA" w:rsidRDefault="000569FA" w:rsidP="00D34AF1">
      <w:pPr>
        <w:jc w:val="both"/>
        <w:rPr>
          <w:rFonts w:cs="Arial"/>
          <w:szCs w:val="22"/>
          <w:highlight w:val="yellow"/>
        </w:rPr>
      </w:pPr>
    </w:p>
    <w:p w:rsidR="00D33287" w:rsidRDefault="00D33287" w:rsidP="00D34AF1">
      <w:pPr>
        <w:widowControl w:val="0"/>
        <w:rPr>
          <w:color w:val="000000"/>
        </w:rPr>
      </w:pPr>
    </w:p>
    <w:p w:rsidR="0007590F" w:rsidRDefault="0007590F" w:rsidP="00D34AF1">
      <w:pPr>
        <w:widowControl w:val="0"/>
        <w:rPr>
          <w:color w:val="000000"/>
        </w:rPr>
      </w:pPr>
    </w:p>
    <w:p w:rsidR="0014359E" w:rsidRDefault="0014359E" w:rsidP="00D34AF1">
      <w:pPr>
        <w:keepLines/>
        <w:rPr>
          <w:color w:val="000000"/>
        </w:rPr>
      </w:pPr>
    </w:p>
    <w:p w:rsidR="0014359E" w:rsidRPr="009146B9" w:rsidRDefault="00530B4B" w:rsidP="00D34AF1">
      <w:pPr>
        <w:keepLines/>
        <w:tabs>
          <w:tab w:val="left" w:pos="4860"/>
        </w:tabs>
        <w:rPr>
          <w:color w:val="000000"/>
          <w:sz w:val="16"/>
          <w:szCs w:val="16"/>
        </w:rPr>
      </w:pPr>
      <w:r>
        <w:rPr>
          <w:noProof/>
          <w:color w:val="000000"/>
          <w:sz w:val="16"/>
          <w:szCs w:val="16"/>
          <w:lang w:eastAsia="en-CA"/>
        </w:rPr>
        <w:pict>
          <v:shapetype id="_x0000_t32" coordsize="21600,21600" o:spt="32" o:oned="t" path="m,l21600,21600e" filled="f">
            <v:path arrowok="t" fillok="f" o:connecttype="none"/>
            <o:lock v:ext="edit" shapetype="t"/>
          </v:shapetype>
          <v:shape id="_x0000_s1036" type="#_x0000_t32" style="position:absolute;margin-left:0;margin-top:2.75pt;width:155.25pt;height:0;z-index:251672576" o:connectortype="straight"/>
        </w:pict>
      </w:r>
    </w:p>
    <w:p w:rsidR="000569FA" w:rsidRDefault="000569FA" w:rsidP="00D34AF1">
      <w:pPr>
        <w:keepLines/>
        <w:tabs>
          <w:tab w:val="left" w:pos="4860"/>
        </w:tabs>
        <w:rPr>
          <w:color w:val="000000"/>
        </w:rPr>
      </w:pPr>
      <w:r>
        <w:rPr>
          <w:color w:val="000000"/>
        </w:rPr>
        <w:t>B. Anderson, MCIP</w:t>
      </w:r>
      <w:r w:rsidR="00973E48">
        <w:rPr>
          <w:color w:val="000000"/>
        </w:rPr>
        <w:t>, RPP</w:t>
      </w:r>
    </w:p>
    <w:p w:rsidR="000569FA" w:rsidRDefault="000569FA" w:rsidP="00D34AF1">
      <w:pPr>
        <w:keepLines/>
        <w:tabs>
          <w:tab w:val="left" w:pos="4860"/>
        </w:tabs>
        <w:rPr>
          <w:color w:val="000000"/>
        </w:rPr>
      </w:pPr>
      <w:r>
        <w:rPr>
          <w:color w:val="000000"/>
        </w:rPr>
        <w:t>MANAGER</w:t>
      </w:r>
    </w:p>
    <w:p w:rsidR="000569FA" w:rsidRDefault="000569FA" w:rsidP="000569FA">
      <w:pPr>
        <w:keepLines/>
        <w:tabs>
          <w:tab w:val="left" w:pos="4860"/>
        </w:tabs>
        <w:rPr>
          <w:color w:val="000000"/>
        </w:rPr>
      </w:pPr>
      <w:r>
        <w:rPr>
          <w:color w:val="000000"/>
        </w:rPr>
        <w:t>PLANNING &amp; DESIGN SECTION</w:t>
      </w:r>
    </w:p>
    <w:p w:rsidR="00D33287" w:rsidRDefault="00D33287" w:rsidP="000569FA">
      <w:pPr>
        <w:keepLines/>
        <w:tabs>
          <w:tab w:val="left" w:pos="4860"/>
        </w:tabs>
      </w:pPr>
    </w:p>
    <w:p w:rsidR="000569FA" w:rsidRPr="00E51311" w:rsidRDefault="000569FA" w:rsidP="000569FA">
      <w:pPr>
        <w:tabs>
          <w:tab w:val="left" w:pos="3600"/>
          <w:tab w:val="left" w:pos="7020"/>
        </w:tabs>
        <w:ind w:right="-360"/>
        <w:rPr>
          <w:szCs w:val="22"/>
        </w:rPr>
      </w:pPr>
      <w:r w:rsidRPr="00E51311">
        <w:rPr>
          <w:szCs w:val="22"/>
        </w:rPr>
        <w:t>Concurrence by:</w:t>
      </w:r>
    </w:p>
    <w:p w:rsidR="000569FA" w:rsidRDefault="000569FA" w:rsidP="000569FA">
      <w:pPr>
        <w:keepLines/>
        <w:tabs>
          <w:tab w:val="left" w:pos="4860"/>
        </w:tabs>
      </w:pPr>
    </w:p>
    <w:p w:rsidR="0007590F" w:rsidRPr="00E51311" w:rsidRDefault="0007590F" w:rsidP="000569FA">
      <w:pPr>
        <w:keepLines/>
        <w:tabs>
          <w:tab w:val="left" w:pos="4860"/>
        </w:tabs>
      </w:pPr>
    </w:p>
    <w:p w:rsidR="00D33287" w:rsidRDefault="00D33287" w:rsidP="000569FA">
      <w:pPr>
        <w:keepLines/>
        <w:tabs>
          <w:tab w:val="left" w:pos="4860"/>
        </w:tabs>
      </w:pPr>
    </w:p>
    <w:p w:rsidR="00D33287" w:rsidRDefault="00D33287" w:rsidP="000569FA">
      <w:pPr>
        <w:keepLines/>
        <w:tabs>
          <w:tab w:val="left" w:pos="4860"/>
        </w:tabs>
      </w:pPr>
    </w:p>
    <w:p w:rsidR="0014359E" w:rsidRPr="009146B9" w:rsidRDefault="00530B4B" w:rsidP="000569FA">
      <w:pPr>
        <w:tabs>
          <w:tab w:val="left" w:pos="3600"/>
          <w:tab w:val="left" w:pos="5400"/>
        </w:tabs>
        <w:ind w:right="-360"/>
        <w:rPr>
          <w:sz w:val="16"/>
          <w:szCs w:val="16"/>
        </w:rPr>
      </w:pPr>
      <w:r w:rsidRPr="00530B4B">
        <w:rPr>
          <w:noProof/>
          <w:color w:val="000000"/>
          <w:lang w:eastAsia="en-CA"/>
        </w:rPr>
        <w:pict>
          <v:shape id="_x0000_s1037" type="#_x0000_t32" style="position:absolute;margin-left:0;margin-top:2.85pt;width:155.25pt;height:0;z-index:251673600" o:connectortype="straight"/>
        </w:pict>
      </w:r>
      <w:r w:rsidRPr="00530B4B">
        <w:rPr>
          <w:noProof/>
          <w:color w:val="000000"/>
          <w:lang w:eastAsia="en-CA"/>
        </w:rPr>
        <w:pict>
          <v:shape id="_x0000_s1038" type="#_x0000_t32" style="position:absolute;margin-left:270.75pt;margin-top:2.85pt;width:155.25pt;height:0;z-index:251674624" o:connectortype="straight"/>
        </w:pict>
      </w:r>
    </w:p>
    <w:p w:rsidR="000569FA" w:rsidRPr="00E51311" w:rsidRDefault="000569FA" w:rsidP="000569FA">
      <w:pPr>
        <w:tabs>
          <w:tab w:val="left" w:pos="3600"/>
          <w:tab w:val="left" w:pos="5400"/>
        </w:tabs>
        <w:ind w:right="-360"/>
      </w:pPr>
      <w:r>
        <w:t>D. Lindsay</w:t>
      </w:r>
      <w:r w:rsidR="001D4344">
        <w:t>, MCIP, RPP</w:t>
      </w:r>
      <w:r w:rsidRPr="00E51311">
        <w:tab/>
      </w:r>
      <w:r w:rsidRPr="00E51311">
        <w:tab/>
      </w:r>
      <w:r>
        <w:t>I. Howat</w:t>
      </w:r>
    </w:p>
    <w:p w:rsidR="000569FA" w:rsidRPr="00E51311" w:rsidRDefault="000569FA" w:rsidP="000569FA">
      <w:pPr>
        <w:tabs>
          <w:tab w:val="left" w:pos="3600"/>
          <w:tab w:val="left" w:pos="5400"/>
        </w:tabs>
        <w:ind w:right="-360"/>
        <w:rPr>
          <w:szCs w:val="22"/>
        </w:rPr>
      </w:pPr>
      <w:r w:rsidRPr="00E51311">
        <w:rPr>
          <w:szCs w:val="22"/>
        </w:rPr>
        <w:t>DIRECTOR</w:t>
      </w:r>
      <w:r w:rsidRPr="00E51311">
        <w:rPr>
          <w:szCs w:val="22"/>
        </w:rPr>
        <w:tab/>
      </w:r>
      <w:r w:rsidRPr="00E51311">
        <w:rPr>
          <w:szCs w:val="22"/>
        </w:rPr>
        <w:tab/>
        <w:t>GENERAL MANAGER</w:t>
      </w:r>
    </w:p>
    <w:p w:rsidR="000569FA" w:rsidRPr="00E51311" w:rsidRDefault="000569FA" w:rsidP="000569FA">
      <w:pPr>
        <w:tabs>
          <w:tab w:val="left" w:pos="3600"/>
          <w:tab w:val="left" w:pos="5400"/>
        </w:tabs>
        <w:ind w:right="-360"/>
        <w:rPr>
          <w:szCs w:val="22"/>
        </w:rPr>
      </w:pPr>
      <w:r>
        <w:rPr>
          <w:szCs w:val="22"/>
        </w:rPr>
        <w:t>COMMUNITY DEVELOPMENT</w:t>
      </w:r>
      <w:r w:rsidRPr="00E51311">
        <w:rPr>
          <w:szCs w:val="22"/>
        </w:rPr>
        <w:tab/>
      </w:r>
      <w:r w:rsidRPr="00E51311">
        <w:rPr>
          <w:szCs w:val="22"/>
        </w:rPr>
        <w:tab/>
        <w:t>CO</w:t>
      </w:r>
      <w:r>
        <w:rPr>
          <w:szCs w:val="22"/>
        </w:rPr>
        <w:t>RPORATE SERVICES</w:t>
      </w:r>
    </w:p>
    <w:p w:rsidR="0014359E" w:rsidRDefault="0014359E" w:rsidP="000569FA">
      <w:pPr>
        <w:tabs>
          <w:tab w:val="left" w:pos="3600"/>
          <w:tab w:val="left" w:pos="7020"/>
        </w:tabs>
        <w:ind w:right="-360"/>
        <w:rPr>
          <w:sz w:val="20"/>
        </w:rPr>
      </w:pPr>
    </w:p>
    <w:p w:rsidR="0007590F" w:rsidRDefault="0007590F" w:rsidP="000569FA">
      <w:pPr>
        <w:tabs>
          <w:tab w:val="left" w:pos="3600"/>
          <w:tab w:val="left" w:pos="7020"/>
        </w:tabs>
        <w:ind w:right="-360"/>
        <w:rPr>
          <w:sz w:val="20"/>
        </w:rPr>
      </w:pPr>
    </w:p>
    <w:p w:rsidR="000569FA" w:rsidRPr="00E51311" w:rsidRDefault="000569FA" w:rsidP="000569FA">
      <w:pPr>
        <w:rPr>
          <w:u w:val="single"/>
        </w:rPr>
      </w:pPr>
      <w:r w:rsidRPr="00E51311">
        <w:rPr>
          <w:u w:val="single"/>
        </w:rPr>
        <w:t>CITY MANAGER COMMENT:</w:t>
      </w:r>
    </w:p>
    <w:p w:rsidR="000569FA" w:rsidRDefault="000569FA" w:rsidP="000569FA"/>
    <w:p w:rsidR="005164DF" w:rsidRDefault="000569FA">
      <w:r w:rsidRPr="00E51311">
        <w:t>I concur with the staff recommendation.</w:t>
      </w:r>
    </w:p>
    <w:p w:rsidR="0014359E" w:rsidRDefault="0014359E"/>
    <w:p w:rsidR="0014359E" w:rsidRPr="009412A2" w:rsidRDefault="00495189" w:rsidP="0014359E">
      <w:pPr>
        <w:jc w:val="both"/>
        <w:rPr>
          <w:rFonts w:cs="Arial"/>
          <w:i/>
          <w:sz w:val="16"/>
          <w:szCs w:val="16"/>
        </w:rPr>
      </w:pPr>
      <w:r>
        <w:rPr>
          <w:rFonts w:cs="Arial"/>
          <w:i/>
          <w:sz w:val="16"/>
          <w:szCs w:val="16"/>
        </w:rPr>
        <w:t>Drafted: 2014</w:t>
      </w:r>
      <w:r w:rsidR="0014359E" w:rsidRPr="009412A2">
        <w:rPr>
          <w:rFonts w:cs="Arial"/>
          <w:i/>
          <w:sz w:val="16"/>
          <w:szCs w:val="16"/>
        </w:rPr>
        <w:t>-</w:t>
      </w:r>
      <w:r>
        <w:rPr>
          <w:rFonts w:cs="Arial"/>
          <w:i/>
          <w:sz w:val="16"/>
          <w:szCs w:val="16"/>
        </w:rPr>
        <w:t>APR</w:t>
      </w:r>
      <w:r w:rsidR="0014359E" w:rsidRPr="009412A2">
        <w:rPr>
          <w:rFonts w:cs="Arial"/>
          <w:i/>
          <w:sz w:val="16"/>
          <w:szCs w:val="16"/>
        </w:rPr>
        <w:t>-</w:t>
      </w:r>
      <w:r w:rsidR="008B5391">
        <w:rPr>
          <w:rFonts w:cs="Arial"/>
          <w:i/>
          <w:sz w:val="16"/>
          <w:szCs w:val="16"/>
        </w:rPr>
        <w:t>22</w:t>
      </w:r>
      <w:r w:rsidR="0007590F">
        <w:rPr>
          <w:rFonts w:cs="Arial"/>
          <w:i/>
          <w:sz w:val="16"/>
          <w:szCs w:val="16"/>
        </w:rPr>
        <w:tab/>
      </w:r>
      <w:r w:rsidR="0014359E" w:rsidRPr="009412A2">
        <w:rPr>
          <w:rFonts w:cs="Arial"/>
          <w:i/>
          <w:sz w:val="16"/>
          <w:szCs w:val="16"/>
        </w:rPr>
        <w:t xml:space="preserve">Prospero: </w:t>
      </w:r>
      <w:r w:rsidR="00C94BB8">
        <w:rPr>
          <w:rFonts w:cs="Arial"/>
          <w:i/>
          <w:sz w:val="16"/>
          <w:szCs w:val="16"/>
        </w:rPr>
        <w:t>RA0003</w:t>
      </w:r>
      <w:r>
        <w:rPr>
          <w:rFonts w:cs="Arial"/>
          <w:i/>
          <w:sz w:val="16"/>
          <w:szCs w:val="16"/>
        </w:rPr>
        <w:t>30</w:t>
      </w:r>
    </w:p>
    <w:p w:rsidR="0014359E" w:rsidRPr="00C94BB8" w:rsidRDefault="0014359E" w:rsidP="00C94BB8">
      <w:pPr>
        <w:jc w:val="both"/>
        <w:rPr>
          <w:rFonts w:cs="Arial"/>
          <w:i/>
          <w:sz w:val="16"/>
          <w:szCs w:val="16"/>
        </w:rPr>
      </w:pPr>
      <w:r w:rsidRPr="009412A2">
        <w:rPr>
          <w:rFonts w:cs="Arial"/>
          <w:i/>
          <w:sz w:val="16"/>
          <w:szCs w:val="16"/>
        </w:rPr>
        <w:t>DS/pm</w:t>
      </w:r>
    </w:p>
    <w:sectPr w:rsidR="0014359E" w:rsidRPr="00C94BB8" w:rsidSect="00D34AF1">
      <w:headerReference w:type="default" r:id="rId10"/>
      <w:pgSz w:w="12240" w:h="15840" w:code="1"/>
      <w:pgMar w:top="1152" w:right="1440" w:bottom="72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60" w:rsidRDefault="006A1F60">
      <w:r>
        <w:separator/>
      </w:r>
    </w:p>
  </w:endnote>
  <w:endnote w:type="continuationSeparator" w:id="0">
    <w:p w:rsidR="006A1F60" w:rsidRDefault="006A1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60" w:rsidRDefault="006A1F60">
      <w:r>
        <w:separator/>
      </w:r>
    </w:p>
  </w:footnote>
  <w:footnote w:type="continuationSeparator" w:id="0">
    <w:p w:rsidR="006A1F60" w:rsidRDefault="006A1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60" w:rsidRPr="006B369A" w:rsidRDefault="006A1F60" w:rsidP="00973E48">
    <w:pPr>
      <w:pStyle w:val="Header"/>
      <w:tabs>
        <w:tab w:val="clear" w:pos="4320"/>
        <w:tab w:val="clear" w:pos="8640"/>
      </w:tabs>
      <w:rPr>
        <w:sz w:val="20"/>
      </w:rPr>
    </w:pPr>
    <w:r w:rsidRPr="006B369A">
      <w:rPr>
        <w:sz w:val="20"/>
      </w:rPr>
      <w:t xml:space="preserve">Report to Council </w:t>
    </w:r>
    <w:r>
      <w:rPr>
        <w:sz w:val="20"/>
      </w:rPr>
      <w:t>–</w:t>
    </w:r>
    <w:r w:rsidRPr="006B369A">
      <w:rPr>
        <w:sz w:val="20"/>
      </w:rPr>
      <w:t xml:space="preserve"> </w:t>
    </w:r>
    <w:r>
      <w:rPr>
        <w:sz w:val="20"/>
      </w:rPr>
      <w:t>2014-APR-28</w:t>
    </w:r>
    <w:r w:rsidRPr="006B369A">
      <w:rPr>
        <w:sz w:val="20"/>
      </w:rPr>
      <w:fldChar w:fldCharType="begin"/>
    </w:r>
    <w:r w:rsidRPr="006B369A">
      <w:rPr>
        <w:sz w:val="20"/>
      </w:rPr>
      <w:instrText xml:space="preserve"> FILLIN "insert Council meeting date YYYY-MMM-DD" </w:instrText>
    </w:r>
    <w:r>
      <w:rPr>
        <w:sz w:val="20"/>
      </w:rPr>
      <w:fldChar w:fldCharType="separate"/>
    </w:r>
    <w:r w:rsidRPr="006B369A">
      <w:rPr>
        <w:sz w:val="20"/>
      </w:rPr>
      <w:fldChar w:fldCharType="end"/>
    </w:r>
    <w:r>
      <w:tab/>
    </w:r>
    <w:r>
      <w:tab/>
    </w:r>
    <w:r>
      <w:tab/>
    </w:r>
    <w:r>
      <w:tab/>
    </w:r>
    <w:r>
      <w:tab/>
    </w:r>
    <w:r>
      <w:tab/>
    </w:r>
    <w:r>
      <w:tab/>
    </w:r>
    <w:r>
      <w:tab/>
      <w:t xml:space="preserve"> </w:t>
    </w:r>
    <w:r w:rsidRPr="006B369A">
      <w:rPr>
        <w:sz w:val="20"/>
      </w:rPr>
      <w:t xml:space="preserve">Page </w:t>
    </w:r>
    <w:r w:rsidRPr="006B369A">
      <w:rPr>
        <w:sz w:val="20"/>
      </w:rPr>
      <w:fldChar w:fldCharType="begin"/>
    </w:r>
    <w:r w:rsidRPr="006B369A">
      <w:rPr>
        <w:sz w:val="20"/>
      </w:rPr>
      <w:instrText>PAGE</w:instrText>
    </w:r>
    <w:r w:rsidRPr="006B369A">
      <w:rPr>
        <w:sz w:val="20"/>
      </w:rPr>
      <w:fldChar w:fldCharType="separate"/>
    </w:r>
    <w:r w:rsidR="00A31451">
      <w:rPr>
        <w:noProof/>
        <w:sz w:val="20"/>
      </w:rPr>
      <w:t>6</w:t>
    </w:r>
    <w:r w:rsidRPr="006B369A">
      <w:rPr>
        <w:sz w:val="20"/>
      </w:rPr>
      <w:fldChar w:fldCharType="end"/>
    </w:r>
  </w:p>
  <w:p w:rsidR="006A1F60" w:rsidRPr="006B369A" w:rsidRDefault="006A1F60" w:rsidP="00973E48">
    <w:pPr>
      <w:pStyle w:val="Header"/>
      <w:rPr>
        <w:sz w:val="20"/>
      </w:rPr>
    </w:pPr>
    <w:r w:rsidRPr="006B369A">
      <w:rPr>
        <w:sz w:val="20"/>
      </w:rPr>
      <w:t xml:space="preserve">Re:  </w:t>
    </w:r>
    <w:r>
      <w:rPr>
        <w:sz w:val="20"/>
      </w:rPr>
      <w:t>RA000330 – 2875 Departure Bay Road</w:t>
    </w:r>
  </w:p>
  <w:p w:rsidR="006A1F60" w:rsidRDefault="006A1F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508C"/>
    <w:multiLevelType w:val="hybridMultilevel"/>
    <w:tmpl w:val="909AF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D63E79"/>
    <w:multiLevelType w:val="hybridMultilevel"/>
    <w:tmpl w:val="BCDA8F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3F84DAA"/>
    <w:multiLevelType w:val="hybridMultilevel"/>
    <w:tmpl w:val="FA1C8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9A4807"/>
    <w:multiLevelType w:val="hybridMultilevel"/>
    <w:tmpl w:val="DA2A3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674108"/>
    <w:multiLevelType w:val="hybridMultilevel"/>
    <w:tmpl w:val="186A0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2B05E71"/>
    <w:multiLevelType w:val="hybridMultilevel"/>
    <w:tmpl w:val="6A14EF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DD06B4"/>
    <w:rsid w:val="0001267E"/>
    <w:rsid w:val="00013D9D"/>
    <w:rsid w:val="000164C3"/>
    <w:rsid w:val="0004285E"/>
    <w:rsid w:val="000569FA"/>
    <w:rsid w:val="0007590F"/>
    <w:rsid w:val="000E51DA"/>
    <w:rsid w:val="000F5C9C"/>
    <w:rsid w:val="0010545E"/>
    <w:rsid w:val="00111FFE"/>
    <w:rsid w:val="00123C7E"/>
    <w:rsid w:val="00123F83"/>
    <w:rsid w:val="001243E9"/>
    <w:rsid w:val="001339D5"/>
    <w:rsid w:val="0014359E"/>
    <w:rsid w:val="00183652"/>
    <w:rsid w:val="001D20DD"/>
    <w:rsid w:val="001D4344"/>
    <w:rsid w:val="001D5182"/>
    <w:rsid w:val="001E07FF"/>
    <w:rsid w:val="00202E2A"/>
    <w:rsid w:val="00210D51"/>
    <w:rsid w:val="00217513"/>
    <w:rsid w:val="002206CF"/>
    <w:rsid w:val="00231B73"/>
    <w:rsid w:val="0023373E"/>
    <w:rsid w:val="00264875"/>
    <w:rsid w:val="00281DD3"/>
    <w:rsid w:val="002859EF"/>
    <w:rsid w:val="002B048A"/>
    <w:rsid w:val="002C084F"/>
    <w:rsid w:val="00300226"/>
    <w:rsid w:val="00302FF9"/>
    <w:rsid w:val="003113B2"/>
    <w:rsid w:val="00381877"/>
    <w:rsid w:val="003A61A0"/>
    <w:rsid w:val="003B122F"/>
    <w:rsid w:val="003C355F"/>
    <w:rsid w:val="003F023C"/>
    <w:rsid w:val="003F4392"/>
    <w:rsid w:val="00412976"/>
    <w:rsid w:val="00430E8F"/>
    <w:rsid w:val="00444374"/>
    <w:rsid w:val="00461BE4"/>
    <w:rsid w:val="00466580"/>
    <w:rsid w:val="00471770"/>
    <w:rsid w:val="0047315D"/>
    <w:rsid w:val="004908D1"/>
    <w:rsid w:val="00495189"/>
    <w:rsid w:val="004960DF"/>
    <w:rsid w:val="004A659C"/>
    <w:rsid w:val="004B22CC"/>
    <w:rsid w:val="004B57D8"/>
    <w:rsid w:val="004C0321"/>
    <w:rsid w:val="004C0777"/>
    <w:rsid w:val="004E28F9"/>
    <w:rsid w:val="004E4387"/>
    <w:rsid w:val="004F5CCF"/>
    <w:rsid w:val="005164DF"/>
    <w:rsid w:val="00520AFA"/>
    <w:rsid w:val="00523CE1"/>
    <w:rsid w:val="00530B4B"/>
    <w:rsid w:val="0055202C"/>
    <w:rsid w:val="005A494A"/>
    <w:rsid w:val="005B6F03"/>
    <w:rsid w:val="005C3B12"/>
    <w:rsid w:val="005F285E"/>
    <w:rsid w:val="006005DA"/>
    <w:rsid w:val="006425F8"/>
    <w:rsid w:val="00650DCD"/>
    <w:rsid w:val="00661147"/>
    <w:rsid w:val="00663A2A"/>
    <w:rsid w:val="0066464A"/>
    <w:rsid w:val="00667EFC"/>
    <w:rsid w:val="006A1F60"/>
    <w:rsid w:val="006C447D"/>
    <w:rsid w:val="006E1A06"/>
    <w:rsid w:val="007023B6"/>
    <w:rsid w:val="007024DF"/>
    <w:rsid w:val="007218E0"/>
    <w:rsid w:val="00740629"/>
    <w:rsid w:val="00753BDE"/>
    <w:rsid w:val="007A00AA"/>
    <w:rsid w:val="007A1A7C"/>
    <w:rsid w:val="007C08EA"/>
    <w:rsid w:val="007C1893"/>
    <w:rsid w:val="007D1F24"/>
    <w:rsid w:val="007D4575"/>
    <w:rsid w:val="007F2BB7"/>
    <w:rsid w:val="00817D8C"/>
    <w:rsid w:val="00820DA8"/>
    <w:rsid w:val="0084614C"/>
    <w:rsid w:val="0087614B"/>
    <w:rsid w:val="00884FF0"/>
    <w:rsid w:val="008978AB"/>
    <w:rsid w:val="008B5391"/>
    <w:rsid w:val="00900D53"/>
    <w:rsid w:val="009146B9"/>
    <w:rsid w:val="00915E53"/>
    <w:rsid w:val="00921E3C"/>
    <w:rsid w:val="00933C53"/>
    <w:rsid w:val="009622F2"/>
    <w:rsid w:val="00973E48"/>
    <w:rsid w:val="009754FB"/>
    <w:rsid w:val="0098331F"/>
    <w:rsid w:val="0099576D"/>
    <w:rsid w:val="00995980"/>
    <w:rsid w:val="009A2288"/>
    <w:rsid w:val="009D6528"/>
    <w:rsid w:val="009E304D"/>
    <w:rsid w:val="00A03E59"/>
    <w:rsid w:val="00A31451"/>
    <w:rsid w:val="00A35012"/>
    <w:rsid w:val="00A51CF1"/>
    <w:rsid w:val="00A85A65"/>
    <w:rsid w:val="00A8714B"/>
    <w:rsid w:val="00AB55B4"/>
    <w:rsid w:val="00AE40AA"/>
    <w:rsid w:val="00AF1939"/>
    <w:rsid w:val="00AF210E"/>
    <w:rsid w:val="00AF3084"/>
    <w:rsid w:val="00AF68FF"/>
    <w:rsid w:val="00B01DAC"/>
    <w:rsid w:val="00B05EC5"/>
    <w:rsid w:val="00B11C78"/>
    <w:rsid w:val="00B26BF2"/>
    <w:rsid w:val="00B45029"/>
    <w:rsid w:val="00B73586"/>
    <w:rsid w:val="00B80E23"/>
    <w:rsid w:val="00B841E4"/>
    <w:rsid w:val="00B90DE2"/>
    <w:rsid w:val="00B979C1"/>
    <w:rsid w:val="00BA33AE"/>
    <w:rsid w:val="00BB664C"/>
    <w:rsid w:val="00BC5958"/>
    <w:rsid w:val="00C30D92"/>
    <w:rsid w:val="00C33BF8"/>
    <w:rsid w:val="00C73315"/>
    <w:rsid w:val="00C9381F"/>
    <w:rsid w:val="00C94BB8"/>
    <w:rsid w:val="00CA7314"/>
    <w:rsid w:val="00CB18B0"/>
    <w:rsid w:val="00CC6A8E"/>
    <w:rsid w:val="00CD614A"/>
    <w:rsid w:val="00CE777A"/>
    <w:rsid w:val="00D15C81"/>
    <w:rsid w:val="00D33287"/>
    <w:rsid w:val="00D34AF1"/>
    <w:rsid w:val="00D40897"/>
    <w:rsid w:val="00D46A64"/>
    <w:rsid w:val="00D50FD9"/>
    <w:rsid w:val="00D71DB1"/>
    <w:rsid w:val="00D73905"/>
    <w:rsid w:val="00D76145"/>
    <w:rsid w:val="00D86700"/>
    <w:rsid w:val="00D90370"/>
    <w:rsid w:val="00D914EF"/>
    <w:rsid w:val="00DC3D2F"/>
    <w:rsid w:val="00DD06B4"/>
    <w:rsid w:val="00DE0A84"/>
    <w:rsid w:val="00E1708E"/>
    <w:rsid w:val="00E56142"/>
    <w:rsid w:val="00E81196"/>
    <w:rsid w:val="00E82247"/>
    <w:rsid w:val="00E95A96"/>
    <w:rsid w:val="00E976D3"/>
    <w:rsid w:val="00ED0C3A"/>
    <w:rsid w:val="00EE70A9"/>
    <w:rsid w:val="00F13536"/>
    <w:rsid w:val="00F33337"/>
    <w:rsid w:val="00F41BF4"/>
    <w:rsid w:val="00F554F4"/>
    <w:rsid w:val="00F73161"/>
    <w:rsid w:val="00FA1372"/>
    <w:rsid w:val="00FB0F69"/>
    <w:rsid w:val="00FC41DD"/>
    <w:rsid w:val="00FE1F88"/>
    <w:rsid w:val="00FF264C"/>
    <w:rsid w:val="00FF6D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4" type="connector" idref="#_x0000_s1038"/>
        <o:r id="V:Rule5" type="connector" idref="#_x0000_s103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9FA"/>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3BDE"/>
    <w:pPr>
      <w:tabs>
        <w:tab w:val="center" w:pos="4320"/>
        <w:tab w:val="right" w:pos="8640"/>
      </w:tabs>
    </w:pPr>
  </w:style>
  <w:style w:type="paragraph" w:styleId="Footer">
    <w:name w:val="footer"/>
    <w:basedOn w:val="Normal"/>
    <w:rsid w:val="00753BDE"/>
    <w:pPr>
      <w:tabs>
        <w:tab w:val="center" w:pos="4320"/>
        <w:tab w:val="right" w:pos="8640"/>
      </w:tabs>
    </w:pPr>
  </w:style>
  <w:style w:type="paragraph" w:styleId="ListParagraph">
    <w:name w:val="List Paragraph"/>
    <w:basedOn w:val="Normal"/>
    <w:uiPriority w:val="34"/>
    <w:qFormat/>
    <w:rsid w:val="000569FA"/>
    <w:pPr>
      <w:ind w:left="720"/>
      <w:contextualSpacing/>
    </w:pPr>
  </w:style>
  <w:style w:type="paragraph" w:styleId="BalloonText">
    <w:name w:val="Balloon Text"/>
    <w:basedOn w:val="Normal"/>
    <w:link w:val="BalloonTextChar"/>
    <w:rsid w:val="000569FA"/>
    <w:rPr>
      <w:rFonts w:ascii="Tahoma" w:hAnsi="Tahoma" w:cs="Tahoma"/>
      <w:sz w:val="16"/>
      <w:szCs w:val="16"/>
    </w:rPr>
  </w:style>
  <w:style w:type="character" w:customStyle="1" w:styleId="BalloonTextChar">
    <w:name w:val="Balloon Text Char"/>
    <w:basedOn w:val="DefaultParagraphFont"/>
    <w:link w:val="BalloonText"/>
    <w:rsid w:val="000569FA"/>
    <w:rPr>
      <w:rFonts w:ascii="Tahoma" w:hAnsi="Tahoma" w:cs="Tahoma"/>
      <w:sz w:val="16"/>
      <w:szCs w:val="16"/>
      <w:lang w:eastAsia="en-US"/>
    </w:rPr>
  </w:style>
  <w:style w:type="table" w:styleId="TableGrid">
    <w:name w:val="Table Grid"/>
    <w:basedOn w:val="TableNormal"/>
    <w:rsid w:val="00285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73E48"/>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3CDCC-C740-4C45-8C13-03D63274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1944</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4</cp:revision>
  <cp:lastPrinted>2014-04-23T19:33:00Z</cp:lastPrinted>
  <dcterms:created xsi:type="dcterms:W3CDTF">2014-04-23T17:49:00Z</dcterms:created>
  <dcterms:modified xsi:type="dcterms:W3CDTF">2014-04-23T20:13:00Z</dcterms:modified>
</cp:coreProperties>
</file>